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36"/>
        </w:rPr>
      </w:pPr>
      <w:r>
        <w:rPr>
          <w:rFonts w:hint="eastAsia"/>
          <w:b/>
          <w:bCs/>
          <w:sz w:val="28"/>
          <w:szCs w:val="36"/>
        </w:rPr>
        <w:t>南京大学医学院临床医学学术学位博士生培养方案</w:t>
      </w:r>
    </w:p>
    <w:p>
      <w:pPr>
        <w:spacing w:line="360" w:lineRule="auto"/>
        <w:jc w:val="center"/>
        <w:rPr>
          <w:b/>
          <w:bCs/>
          <w:sz w:val="28"/>
          <w:szCs w:val="36"/>
        </w:rPr>
      </w:pPr>
      <w:r>
        <w:rPr>
          <w:rFonts w:hint="eastAsia" w:ascii="宋体" w:hAnsi="宋体" w:eastAsia="宋体" w:cs="宋体"/>
          <w:b/>
          <w:bCs/>
          <w:sz w:val="24"/>
          <w:szCs w:val="32"/>
        </w:rPr>
        <w:t>（学科代码：100200）</w:t>
      </w: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一、培养目标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 xml:space="preserve">攻读临床医学博士学位研究生（以下简称博士生）必须坚持德、智、体全面发展，具体要求是： </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 xml:space="preserve">1、较好地掌握马克思主义的基本原理，坚持四项基本原则，热爱祖国，遵纪守法，品德良好，有献身于科学的强烈事业心和创新精神，能够积极为社会主义现代化建设事业服务。 </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 xml:space="preserve">2、在本门学科上掌握坚实宽广的基础理论和系统深入的专门知识；能独立地、创造性地从事临床医学科学研究工作，全面了解临床医学的发展动向，掌握本学科常用的研究方法、实验技能和评价手段，能独立承担和主持与本学科有关的教学、科研工作，具有严谨的科研作风、良好的合作精神和较强的学术交流能力，能在本学科前沿学术领域上做出创造性的成果。 </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 xml:space="preserve">3、至少掌握一门外国语，能熟练地阅读本专业的外文资料，具有一定的写作能力和进行国际学术交流的能力。 </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4、具有健康的身心。</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二、研究方向</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详见当年医学院招生博士研究生专业目录。</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三、学制及修业年限</w:t>
      </w:r>
    </w:p>
    <w:p>
      <w:pPr>
        <w:spacing w:line="360" w:lineRule="auto"/>
        <w:ind w:firstLine="480" w:firstLineChars="200"/>
        <w:jc w:val="left"/>
        <w:rPr>
          <w:rFonts w:ascii="宋体" w:hAnsi="宋体" w:eastAsia="宋体" w:cs="宋体"/>
          <w:color w:val="FF0000"/>
          <w:sz w:val="24"/>
          <w:szCs w:val="32"/>
          <w:highlight w:val="yellow"/>
        </w:rPr>
      </w:pPr>
      <w:r>
        <w:rPr>
          <w:rFonts w:hint="eastAsia" w:ascii="宋体" w:hAnsi="宋体" w:eastAsia="宋体" w:cs="宋体"/>
          <w:sz w:val="24"/>
          <w:szCs w:val="32"/>
        </w:rPr>
        <w:t>博士生基本修业年限为4年，最长修业年限为8年；直博生基本修业年限为5年，最长修业年限为8年；</w:t>
      </w:r>
    </w:p>
    <w:p>
      <w:pPr>
        <w:spacing w:line="360" w:lineRule="auto"/>
        <w:jc w:val="left"/>
        <w:rPr>
          <w:rFonts w:ascii="宋体" w:hAnsi="宋体" w:eastAsia="宋体" w:cs="宋体"/>
          <w:sz w:val="24"/>
          <w:szCs w:val="32"/>
        </w:rPr>
      </w:pPr>
    </w:p>
    <w:p>
      <w:pPr>
        <w:numPr>
          <w:ilvl w:val="0"/>
          <w:numId w:val="1"/>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培养方式</w:t>
      </w:r>
    </w:p>
    <w:p>
      <w:pPr>
        <w:spacing w:line="360" w:lineRule="auto"/>
        <w:ind w:firstLine="480" w:firstLineChars="200"/>
        <w:jc w:val="left"/>
        <w:rPr>
          <w:rFonts w:ascii="宋体" w:hAnsi="宋体" w:eastAsia="宋体" w:cs="宋体"/>
          <w:b/>
          <w:bCs/>
          <w:sz w:val="24"/>
          <w:szCs w:val="32"/>
        </w:rPr>
      </w:pPr>
      <w:r>
        <w:rPr>
          <w:rFonts w:hint="eastAsia" w:ascii="宋体" w:hAnsi="宋体" w:eastAsia="宋体" w:cs="宋体"/>
          <w:sz w:val="24"/>
          <w:szCs w:val="32"/>
        </w:rPr>
        <w:t>着力塑造以“立德树人第一责任人”为核心的博士生导师教育文化观，强化博士生导师立德树人的责任感和使命感。引导博士生导师做好博士生求知的指导者、学术的引路人和品德的垂范者。</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1、博士生指导实行导师负责制。强化导师在博士生培养全过程的指导责任，特别是在博士资格考核、开题报告、中期检查和预答辩等环节中的指导和督促作用。</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 xml:space="preserve">2、博士生应在导师指导下，学习有关课程，查阅文献资料，参加学术交流，确定具体课题，独立从事科学研究，取得创新性成果。 </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3、导师应加强对博士生的培养过程管理，可根据实际情况适度调整博士生的培养计划，使博士生培养、立德树人、科学研究紧密结合起来。</w:t>
      </w:r>
    </w:p>
    <w:p>
      <w:pPr>
        <w:spacing w:line="360" w:lineRule="auto"/>
        <w:jc w:val="left"/>
        <w:rPr>
          <w:rFonts w:ascii="宋体" w:hAnsi="宋体" w:eastAsia="宋体" w:cs="宋体"/>
          <w:sz w:val="24"/>
          <w:szCs w:val="32"/>
        </w:rPr>
      </w:pPr>
    </w:p>
    <w:p>
      <w:pPr>
        <w:numPr>
          <w:ilvl w:val="0"/>
          <w:numId w:val="2"/>
        </w:numPr>
        <w:spacing w:line="360" w:lineRule="auto"/>
        <w:jc w:val="left"/>
        <w:rPr>
          <w:rFonts w:ascii="宋体" w:hAnsi="宋体" w:eastAsia="宋体" w:cs="宋体"/>
          <w:b/>
          <w:bCs/>
          <w:sz w:val="24"/>
          <w:szCs w:val="32"/>
        </w:rPr>
      </w:pPr>
      <w:r>
        <w:rPr>
          <w:rFonts w:hint="eastAsia" w:ascii="宋体" w:hAnsi="宋体" w:eastAsia="宋体" w:cs="宋体"/>
          <w:b/>
          <w:bCs/>
          <w:sz w:val="24"/>
          <w:szCs w:val="32"/>
        </w:rPr>
        <w:t>课程设置</w:t>
      </w:r>
    </w:p>
    <w:p>
      <w:pPr>
        <w:spacing w:line="360" w:lineRule="auto"/>
        <w:jc w:val="left"/>
        <w:rPr>
          <w:rFonts w:ascii="宋体" w:hAnsi="宋体" w:eastAsia="宋体" w:cs="宋体"/>
          <w:sz w:val="24"/>
          <w:szCs w:val="32"/>
        </w:rPr>
      </w:pPr>
      <w:r>
        <w:rPr>
          <w:rFonts w:hint="eastAsia" w:ascii="宋体" w:hAnsi="宋体" w:eastAsia="宋体" w:cs="宋体"/>
          <w:sz w:val="24"/>
          <w:szCs w:val="32"/>
        </w:rPr>
        <w:t xml:space="preserve">A. 普通博士生 </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攻读博士学位期间，需选修公共必修课程2门，分别为博士生英语课程和博士生政治课程，专业学位课程2-4门，其中导师讲授课程限1门。</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跨学科专业的博士研究生，应在导师指导下补修2－3门本学科的硕士生主干课程，没有补修成绩或补修课程考试不合格者不得进入论文答辩。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 xml:space="preserve">普通博士生课程学习，应在博士生资格考核前完成。课程设置见附录。 </w:t>
      </w:r>
    </w:p>
    <w:p>
      <w:pPr>
        <w:spacing w:line="360" w:lineRule="auto"/>
        <w:jc w:val="left"/>
        <w:rPr>
          <w:rFonts w:ascii="宋体" w:hAnsi="宋体" w:eastAsia="宋体" w:cs="宋体"/>
          <w:sz w:val="24"/>
          <w:szCs w:val="32"/>
        </w:rPr>
      </w:pPr>
      <w:r>
        <w:rPr>
          <w:rFonts w:hint="eastAsia" w:ascii="宋体" w:hAnsi="宋体" w:eastAsia="宋体" w:cs="宋体"/>
          <w:sz w:val="24"/>
          <w:szCs w:val="32"/>
        </w:rPr>
        <w:t>B．直博生</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攻读博士学位期间，需选修3门政治课程和博士生英语课程。直博生所修学的硕士生专业课程不低于19个学分，其中学科核心课程和专业必修课程（B、C类课程）12学分 。博士专业学位课程1-3门，其中导师讲授课程限1门。</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非本专业本科入学者，应在导师指导下补修2－3门本学科的硕士生主干课程，没有补修成绩或补修课程考试不合格者不得进入论文答辩。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直博生课程学习，应在博士生资格考核前完成。课程设置见附录。</w:t>
      </w:r>
    </w:p>
    <w:p>
      <w:pPr>
        <w:numPr>
          <w:ilvl w:val="0"/>
          <w:numId w:val="3"/>
        </w:numPr>
        <w:spacing w:line="360" w:lineRule="auto"/>
        <w:jc w:val="left"/>
        <w:rPr>
          <w:rFonts w:ascii="宋体" w:hAnsi="宋体" w:eastAsia="宋体" w:cs="宋体"/>
          <w:sz w:val="24"/>
          <w:szCs w:val="32"/>
        </w:rPr>
      </w:pPr>
      <w:r>
        <w:rPr>
          <w:rFonts w:hint="eastAsia" w:ascii="宋体" w:hAnsi="宋体" w:eastAsia="宋体" w:cs="宋体"/>
          <w:sz w:val="24"/>
          <w:szCs w:val="32"/>
        </w:rPr>
        <w:t>长学制博士生</w:t>
      </w:r>
    </w:p>
    <w:p>
      <w:pPr>
        <w:spacing w:line="360" w:lineRule="auto"/>
        <w:ind w:firstLine="480" w:firstLineChars="200"/>
        <w:jc w:val="left"/>
        <w:rPr>
          <w:rFonts w:ascii="宋体" w:hAnsi="宋体" w:eastAsia="宋体" w:cs="宋体"/>
          <w:sz w:val="24"/>
          <w:szCs w:val="32"/>
        </w:rPr>
      </w:pPr>
      <w:r>
        <w:rPr>
          <w:rFonts w:ascii="宋体" w:hAnsi="宋体" w:eastAsia="宋体" w:cs="宋体"/>
          <w:sz w:val="24"/>
          <w:szCs w:val="32"/>
        </w:rPr>
        <w:t>攻读博士学位期间，需选修公共必修课程2门，分别为博士生英语课程和博士生政治课程，专业学位课程2-4门，其中导师讲授课程限1门。</w:t>
      </w:r>
    </w:p>
    <w:p>
      <w:pPr>
        <w:spacing w:line="360" w:lineRule="auto"/>
        <w:ind w:firstLine="480" w:firstLineChars="200"/>
        <w:jc w:val="left"/>
        <w:rPr>
          <w:rFonts w:ascii="宋体" w:hAnsi="宋体" w:eastAsia="宋体" w:cs="宋体"/>
          <w:sz w:val="24"/>
          <w:szCs w:val="32"/>
        </w:rPr>
      </w:pPr>
      <w:r>
        <w:rPr>
          <w:rFonts w:ascii="宋体" w:hAnsi="宋体" w:eastAsia="宋体" w:cs="宋体"/>
          <w:sz w:val="24"/>
          <w:szCs w:val="32"/>
        </w:rPr>
        <w:t>课程学习应在转入博士阶段后一学年内完成。课程设置见附录。</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六、质量监控</w:t>
      </w:r>
    </w:p>
    <w:p>
      <w:pPr>
        <w:spacing w:line="360" w:lineRule="auto"/>
        <w:jc w:val="left"/>
        <w:rPr>
          <w:rFonts w:ascii="宋体" w:hAnsi="宋体" w:eastAsia="宋体" w:cs="宋体"/>
          <w:sz w:val="24"/>
          <w:szCs w:val="32"/>
        </w:rPr>
      </w:pPr>
      <w:r>
        <w:rPr>
          <w:rFonts w:hint="eastAsia" w:ascii="宋体" w:hAnsi="宋体" w:eastAsia="宋体" w:cs="宋体"/>
          <w:sz w:val="24"/>
          <w:szCs w:val="32"/>
        </w:rPr>
        <w:t>1、博士生资格考核（院系组织）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我院根据本学科博士生培养要求，主要考核基础理论与专业基础知识、综合科研工作能力和学风。</w:t>
      </w:r>
      <w:r>
        <w:rPr>
          <w:rFonts w:hint="eastAsia" w:ascii="宋体" w:hAnsi="宋体" w:eastAsia="宋体" w:cs="宋体"/>
          <w:color w:val="000000" w:themeColor="text1"/>
          <w:sz w:val="24"/>
          <w:szCs w:val="32"/>
          <w14:textFill>
            <w14:solidFill>
              <w14:schemeClr w14:val="tx1"/>
            </w14:solidFill>
          </w14:textFill>
        </w:rPr>
        <w:t>考核包括笔试和面试。</w:t>
      </w:r>
      <w:r>
        <w:rPr>
          <w:rFonts w:hint="eastAsia" w:ascii="宋体" w:hAnsi="宋体" w:eastAsia="宋体" w:cs="宋体"/>
          <w:sz w:val="24"/>
          <w:szCs w:val="32"/>
        </w:rPr>
        <w:t>普通博士生资格考核安排在入学后第三学期末（1月），直博生资格考核安排在入学后第五学期末（1月），长学制博士生资格考核在转入博士阶段后的第一学期末（1月）进行。所有博士生必须参加资格考试，通过者准予继续进行博士学位论文研究工作。具体方案见《南京大学医学院博士研究生资格考核的规定》。</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每个博士生最多可参加三次资格考核（最多六年），对于六年内连续三次暂缓通过，学校将视之为自动终止学业，取消学籍作肄业处理。</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我院对于连续两次暂缓通过博士生资格考核的博士生将下达预警通知，告知其附属医院教学管理部门及导师。</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sz w:val="24"/>
          <w:szCs w:val="32"/>
        </w:rPr>
      </w:pPr>
      <w:r>
        <w:rPr>
          <w:rFonts w:hint="eastAsia" w:ascii="宋体" w:hAnsi="宋体" w:eastAsia="宋体" w:cs="宋体"/>
          <w:sz w:val="24"/>
          <w:szCs w:val="32"/>
        </w:rPr>
        <w:t>2、开题报告（导师组织）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通过资格考核后方可进入开题环节。通过资格考核后半年内，普通博士生和直博生须完成博士学位论文开题报告；长学制博士生须在通过资格考核后两月内（3月20日前）完成。有特殊情况的，提交延期申请批准后可顺延。开题报告由中文书面报告和口头报告两部分组成。博士生向本学科3-5人专家小组汇报博士学位论文的选题依据、研究目的和意义、研究内容、研究方案和预期研究目标等，</w:t>
      </w:r>
      <w:r>
        <w:rPr>
          <w:rFonts w:hint="eastAsia" w:ascii="宋体" w:hAnsi="宋体" w:eastAsia="宋体" w:cs="宋体"/>
          <w:color w:val="000000" w:themeColor="text1"/>
          <w:sz w:val="24"/>
          <w:szCs w:val="32"/>
          <w14:textFill>
            <w14:solidFill>
              <w14:schemeClr w14:val="tx1"/>
            </w14:solidFill>
          </w14:textFill>
        </w:rPr>
        <w:t>口头报告的时间应不少于20分钟。书面报告的字数应不少于0.6万字，参考文献不少于50篇。</w:t>
      </w:r>
      <w:r>
        <w:rPr>
          <w:rFonts w:hint="eastAsia" w:ascii="宋体" w:hAnsi="宋体" w:eastAsia="宋体" w:cs="宋体"/>
          <w:sz w:val="24"/>
          <w:szCs w:val="32"/>
        </w:rPr>
        <w:t>专家小组签署评议意见后，送医学院研究生办公室备案。</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开题报告的内容与论文答辩的内容应保持一致，若攻博期间研究课题发生变更，需重新提交开题报告并送医学院研究生办公室备案。开题报告提交满1年方可申请论文答辩。</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sz w:val="24"/>
          <w:szCs w:val="32"/>
        </w:rPr>
      </w:pPr>
      <w:r>
        <w:rPr>
          <w:rFonts w:hint="eastAsia" w:ascii="宋体" w:hAnsi="宋体" w:eastAsia="宋体" w:cs="宋体"/>
          <w:sz w:val="24"/>
          <w:szCs w:val="32"/>
        </w:rPr>
        <w:t>3、中期考核（导师组织）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普通博士生和直博生的学位论文实行中期考核制度。开题报告提交半年以后，经导师同意可以申请进行中期考核，需提交</w:t>
      </w:r>
      <w:r>
        <w:rPr>
          <w:rFonts w:hint="eastAsia" w:ascii="宋体" w:hAnsi="宋体" w:eastAsia="宋体" w:cs="宋体"/>
          <w:color w:val="000000" w:themeColor="text1"/>
          <w:sz w:val="24"/>
          <w:szCs w:val="32"/>
          <w14:textFill>
            <w14:solidFill>
              <w14:schemeClr w14:val="tx1"/>
            </w14:solidFill>
          </w14:textFill>
        </w:rPr>
        <w:t>3000字</w:t>
      </w:r>
      <w:r>
        <w:rPr>
          <w:rFonts w:hint="eastAsia" w:ascii="宋体" w:hAnsi="宋体" w:eastAsia="宋体" w:cs="宋体"/>
          <w:sz w:val="24"/>
          <w:szCs w:val="32"/>
        </w:rPr>
        <w:t>的研究工作进展报告。本学科3-5人专家小组听取论文工作进展汇报，汇报时间不少于20分钟，对博士生的综合能力以及工作态度等进行全方位的考查。专家小组签署评议意见后，送医学院研究生办公室备案。中期考核不通过者，不能进入博士论文答辩阶段。</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sz w:val="24"/>
          <w:szCs w:val="32"/>
        </w:rPr>
      </w:pPr>
      <w:r>
        <w:rPr>
          <w:rFonts w:hint="eastAsia" w:ascii="宋体" w:hAnsi="宋体" w:eastAsia="宋体" w:cs="宋体"/>
          <w:sz w:val="24"/>
          <w:szCs w:val="32"/>
        </w:rPr>
        <w:t>4、临床技能毕业考核（附属医院教学管理部门组织）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长学制博士生转入博士阶段的第四学期初（3月）进行临床技能毕业考核。临床技能包括临床专业知识、临床分析能力、临床诊疗能力、临床技术操作能力等。考核成绩不合格者，不能进入博士论文答辩阶段。</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5、学术交流</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为了拓宽博士生的学术视野，加强其学术交流能力，规定如下：</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培养期内，直博生须参加15次以上学术报告，普通博士生须参加12次以上学术报告，长学制博士生转入博士阶段的培养期内须参加6次以上学术报告。参加国内外学术会议1天可折算成3次学术报告。每次学术活动应有不少于 500 字的小结（附照片），导师签字后，送医学院研究生办公室备案。学术交流不达标者，不能进入博士论文答辩阶段。</w:t>
      </w:r>
    </w:p>
    <w:p>
      <w:pPr>
        <w:spacing w:line="360" w:lineRule="auto"/>
        <w:ind w:firstLine="480" w:firstLineChars="200"/>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七、博士学位论文</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博士学位论文是博士生科学研究工作的全面总结，是博士生培养质量和学术水平的集中反映，是申请和授予博士学位的基本依据。博士学位论文应在导师指导下由博士生独立完成。博士学位论文撰写是博士生培养过程的基本训练之一，必须按照规范认真执行，具体要求见《南京大学医学院博士学位论文撰写与印制要求》。</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申请博士学位的学位论文对所研究的课题应当有创造性的见解，在理论上或实际上对社会主义建设或本门学科发展应当有较大的意义，表明作者在本门学科上已经掌握坚实宽广的基础理论和系统深入的专门知识，具有独立从事科学研究工作的能力，在科学或专门技术上做出创造性的成果。</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学位论文必须在导师指导下由本人独立完成，并要有一定的工作量。学位论文必须是一篇或一组论文组成的系统而完整的学术论文，是博士生在博士学习阶段的科研工作。如果是硕士生学习阶段科研工作的继续和深入，其硕士学位论文的成果可以在博士学位论文中引用，但在博士阶段应有新的发展，做出创造性的成果。</w:t>
      </w: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八、论文答辩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1、博士生学位论文完成后需提交3位本专业或教研室内其他教授（主任医师）或博士生导师预审，博士生需根据预审专家的意见进行论文修改，导师对修改内容进行把关。如有预审专家对论文给出“不同意申请答辩”意见，学生需在导师指导下修改论文后送原专家再评审，直到专家给出“同意申请答辩”意见为止。</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2、开题报告提交满一年且预审通过的学位论文方可提交答辩申请，并参加学校的学位论文答辩前抽检盲审。抽检盲审具体要求见《南京大学关于博士学位论文抽检盲审的相关规定》。</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3、未被抽中参加盲审的博士学位论文的评阅，应由5名与论文有关学科的教授或相当专业技术职务的专家评阅，其中博士生导师至少3人、校外专家至少2人。</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4、规范预答辩环节。除导师外，学位论文预答辩至少有3位教授（主任医师）或博士生导师参加，预答辩不通过者不得申请答辩。博士生需根据预答辩委员会提出的意见进行论文修改，导师对修改内容进行把关。</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5、盲审或外审合格并且通过预答辩者，可领取表决票、安排答辩。</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6、博士学位论文答辩委员会由教授或相当专业技术职务的专家5人组成，其中博士生导师至少有3人，校外专家至少有2人。导师不参加答辩委员会。答辩秘书应具有讲师以上技术职务或博士学位。</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7、论文答辩其它要求见《南京大学医学院关于学位论文的评阅、评议及答辩的规定》。</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九、学位申请</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博士研究生在申请博士学位时，应该有和博士学位论文相关的重点工作在国内外重要学术期刊发表。</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普通博士生和直博生学位申请要求见《南京大学医学院四年制学术学位博士学位授予质量标准细则》。</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长学制博士生学位申请要求见《南京大学医学院长学制学术学位博士学位授予质量标准细则》。</w:t>
      </w:r>
    </w:p>
    <w:p>
      <w:pPr>
        <w:spacing w:line="360" w:lineRule="auto"/>
        <w:jc w:val="left"/>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（注：发表成果必须以南京大学医学院为第一作者单位且导师必须是通讯作者；申请学位发表文章必须见刊后方能拿到学位证书原件，未见刊前学位证书原件一律不外借。）</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十、攻读博士期间主要时间节点</w:t>
      </w:r>
    </w:p>
    <w:tbl>
      <w:tblPr>
        <w:tblStyle w:val="5"/>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5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tcPr>
          <w:p>
            <w:pPr>
              <w:spacing w:line="360" w:lineRule="auto"/>
              <w:jc w:val="center"/>
              <w:rPr>
                <w:rFonts w:ascii="宋体" w:hAnsi="宋体" w:eastAsia="宋体" w:cs="宋体"/>
                <w:b/>
                <w:bCs/>
                <w:kern w:val="0"/>
                <w:sz w:val="24"/>
                <w:szCs w:val="32"/>
              </w:rPr>
            </w:pPr>
            <w:r>
              <w:rPr>
                <w:rFonts w:hint="eastAsia" w:ascii="宋体" w:hAnsi="宋体" w:eastAsia="宋体" w:cs="宋体"/>
                <w:b/>
                <w:bCs/>
                <w:kern w:val="0"/>
                <w:sz w:val="24"/>
                <w:szCs w:val="32"/>
              </w:rPr>
              <w:t>事项</w:t>
            </w:r>
          </w:p>
        </w:tc>
        <w:tc>
          <w:tcPr>
            <w:tcW w:w="5695" w:type="dxa"/>
          </w:tcPr>
          <w:p>
            <w:pPr>
              <w:spacing w:line="360" w:lineRule="auto"/>
              <w:jc w:val="center"/>
              <w:rPr>
                <w:rFonts w:ascii="宋体" w:hAnsi="宋体" w:eastAsia="宋体" w:cs="宋体"/>
                <w:b/>
                <w:bCs/>
                <w:kern w:val="0"/>
                <w:sz w:val="24"/>
                <w:szCs w:val="32"/>
              </w:rPr>
            </w:pPr>
            <w:r>
              <w:rPr>
                <w:rFonts w:hint="eastAsia" w:ascii="宋体" w:hAnsi="宋体" w:eastAsia="宋体" w:cs="宋体"/>
                <w:b/>
                <w:bCs/>
                <w:kern w:val="0"/>
                <w:sz w:val="24"/>
                <w:szCs w:val="32"/>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入学报到</w:t>
            </w:r>
          </w:p>
        </w:tc>
        <w:tc>
          <w:tcPr>
            <w:tcW w:w="5695"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每年9月（详见录取通知书）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 xml:space="preserve"> 博士资格考核</w:t>
            </w:r>
          </w:p>
        </w:tc>
        <w:tc>
          <w:tcPr>
            <w:tcW w:w="5695"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普通博士生：第三学期末（1月）</w:t>
            </w:r>
          </w:p>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直博生：第五学期末（1月）</w:t>
            </w:r>
          </w:p>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长学制博士生：转入博士阶段的第一学期末（1月）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开题报告</w:t>
            </w:r>
          </w:p>
        </w:tc>
        <w:tc>
          <w:tcPr>
            <w:tcW w:w="5695"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普通博士生：通过博资考后半年内</w:t>
            </w:r>
          </w:p>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直博生：通过博资考后半年内</w:t>
            </w:r>
          </w:p>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长学制博士生：通过博资考后两月内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临床技能毕业考核</w:t>
            </w:r>
          </w:p>
        </w:tc>
        <w:tc>
          <w:tcPr>
            <w:tcW w:w="5695"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长学制博士生转入博士阶段的第四学期初（3月）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7"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中期考核</w:t>
            </w:r>
          </w:p>
        </w:tc>
        <w:tc>
          <w:tcPr>
            <w:tcW w:w="5695" w:type="dxa"/>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普通博士生：第五学期末（1月）</w:t>
            </w:r>
          </w:p>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直博生：第七学期末（1月）</w:t>
            </w:r>
          </w:p>
        </w:tc>
      </w:tr>
    </w:tbl>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 xml:space="preserve">附录：临床医学（100200）课程设置 </w:t>
      </w: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 xml:space="preserve">一、普通博士生及长学制博士生课程设置及要求 </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攻读博士学位期间，需选修公共必修课程2门，分别为博士生英语课程（包括博士生学术交流英语、博士生英语听力/口语）和博士生政治课程（中国马克思主义与当代），专业学位课程2-4门，其中导师讲授课程限1门。</w:t>
      </w:r>
    </w:p>
    <w:p>
      <w:pPr>
        <w:spacing w:line="360" w:lineRule="auto"/>
        <w:jc w:val="left"/>
        <w:rPr>
          <w:rFonts w:ascii="宋体" w:hAnsi="宋体" w:eastAsia="宋体" w:cs="宋体"/>
          <w:sz w:val="24"/>
          <w:szCs w:val="32"/>
        </w:rPr>
      </w:pPr>
      <w:r>
        <w:rPr>
          <w:rFonts w:hint="eastAsia" w:ascii="宋体" w:hAnsi="宋体" w:eastAsia="宋体" w:cs="宋体"/>
          <w:sz w:val="24"/>
          <w:szCs w:val="32"/>
        </w:rPr>
        <w:t>课程设置如下：</w:t>
      </w:r>
    </w:p>
    <w:p>
      <w:pPr>
        <w:pStyle w:val="9"/>
        <w:spacing w:line="360" w:lineRule="auto"/>
        <w:ind w:firstLine="0" w:firstLineChars="0"/>
        <w:jc w:val="left"/>
        <w:rPr>
          <w:rFonts w:ascii="宋体" w:hAnsi="宋体" w:eastAsia="宋体" w:cs="宋体"/>
          <w:sz w:val="24"/>
          <w:szCs w:val="32"/>
        </w:rPr>
      </w:pPr>
      <w:r>
        <w:rPr>
          <w:rFonts w:hint="eastAsia" w:ascii="宋体" w:hAnsi="宋体" w:eastAsia="宋体" w:cs="宋体"/>
          <w:sz w:val="24"/>
          <w:szCs w:val="32"/>
        </w:rPr>
        <w:t>1、公共必修课程：</w:t>
      </w:r>
    </w:p>
    <w:tbl>
      <w:tblPr>
        <w:tblStyle w:val="5"/>
        <w:tblW w:w="3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1599"/>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课程名称</w:t>
            </w:r>
          </w:p>
        </w:tc>
        <w:tc>
          <w:tcPr>
            <w:tcW w:w="1418"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课程编号</w:t>
            </w:r>
          </w:p>
        </w:tc>
        <w:tc>
          <w:tcPr>
            <w:tcW w:w="1222"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8" w:type="pct"/>
          </w:tcPr>
          <w:p>
            <w:pPr>
              <w:spacing w:line="360" w:lineRule="auto"/>
              <w:jc w:val="center"/>
              <w:rPr>
                <w:rFonts w:ascii="宋体" w:hAnsi="宋体" w:eastAsia="宋体" w:cs="宋体"/>
                <w:kern w:val="0"/>
                <w:sz w:val="24"/>
                <w:szCs w:val="32"/>
              </w:rPr>
            </w:pPr>
            <w:r>
              <w:rPr>
                <w:rFonts w:ascii="宋体" w:hAnsi="宋体" w:eastAsia="宋体" w:cs="宋体"/>
                <w:kern w:val="0"/>
                <w:sz w:val="24"/>
                <w:szCs w:val="32"/>
              </w:rPr>
              <w:t>马克思主义与</w:t>
            </w:r>
            <w:r>
              <w:rPr>
                <w:rFonts w:hint="eastAsia" w:ascii="宋体" w:hAnsi="宋体" w:eastAsia="宋体" w:cs="宋体"/>
                <w:kern w:val="0"/>
                <w:sz w:val="24"/>
                <w:szCs w:val="32"/>
              </w:rPr>
              <w:t>当代中国</w:t>
            </w:r>
          </w:p>
        </w:tc>
        <w:tc>
          <w:tcPr>
            <w:tcW w:w="1418" w:type="pct"/>
          </w:tcPr>
          <w:p>
            <w:pPr>
              <w:spacing w:line="360" w:lineRule="auto"/>
              <w:jc w:val="center"/>
              <w:rPr>
                <w:rFonts w:ascii="宋体" w:hAnsi="宋体" w:eastAsia="宋体" w:cs="宋体"/>
                <w:kern w:val="0"/>
                <w:sz w:val="24"/>
                <w:szCs w:val="32"/>
              </w:rPr>
            </w:pPr>
            <w:r>
              <w:rPr>
                <w:rFonts w:ascii="宋体" w:hAnsi="宋体" w:eastAsia="宋体" w:cs="宋体"/>
                <w:kern w:val="0"/>
                <w:sz w:val="24"/>
                <w:szCs w:val="32"/>
              </w:rPr>
              <w:t>10284X002</w:t>
            </w:r>
          </w:p>
        </w:tc>
        <w:tc>
          <w:tcPr>
            <w:tcW w:w="1222"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博士生学术交流英语</w:t>
            </w:r>
          </w:p>
        </w:tc>
        <w:tc>
          <w:tcPr>
            <w:tcW w:w="1418" w:type="pct"/>
          </w:tcPr>
          <w:p>
            <w:pPr>
              <w:spacing w:line="360" w:lineRule="auto"/>
              <w:jc w:val="center"/>
              <w:rPr>
                <w:rFonts w:ascii="宋体" w:hAnsi="宋体" w:eastAsia="宋体" w:cs="宋体"/>
                <w:kern w:val="0"/>
                <w:sz w:val="24"/>
                <w:szCs w:val="32"/>
              </w:rPr>
            </w:pPr>
            <w:r>
              <w:rPr>
                <w:rFonts w:ascii="宋体" w:hAnsi="宋体" w:eastAsia="宋体" w:cs="宋体"/>
                <w:kern w:val="0"/>
                <w:sz w:val="24"/>
                <w:szCs w:val="32"/>
              </w:rPr>
              <w:t>10284X003</w:t>
            </w:r>
          </w:p>
        </w:tc>
        <w:tc>
          <w:tcPr>
            <w:tcW w:w="1222"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8"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博士生英语口语/听力</w:t>
            </w:r>
          </w:p>
        </w:tc>
        <w:tc>
          <w:tcPr>
            <w:tcW w:w="1418" w:type="pct"/>
          </w:tcPr>
          <w:p>
            <w:pPr>
              <w:spacing w:line="360" w:lineRule="auto"/>
              <w:jc w:val="center"/>
              <w:rPr>
                <w:rFonts w:ascii="宋体" w:hAnsi="宋体" w:eastAsia="宋体" w:cs="宋体"/>
                <w:kern w:val="0"/>
                <w:sz w:val="24"/>
                <w:szCs w:val="32"/>
              </w:rPr>
            </w:pPr>
            <w:r>
              <w:rPr>
                <w:rFonts w:ascii="宋体" w:hAnsi="宋体" w:eastAsia="宋体" w:cs="宋体"/>
                <w:kern w:val="0"/>
                <w:sz w:val="24"/>
                <w:szCs w:val="32"/>
              </w:rPr>
              <w:t>10284X003</w:t>
            </w:r>
          </w:p>
        </w:tc>
        <w:tc>
          <w:tcPr>
            <w:tcW w:w="1222" w:type="pct"/>
          </w:tcPr>
          <w:p>
            <w:pPr>
              <w:spacing w:line="360" w:lineRule="auto"/>
              <w:jc w:val="center"/>
              <w:rPr>
                <w:rFonts w:ascii="宋体" w:hAnsi="宋体" w:eastAsia="宋体" w:cs="宋体"/>
                <w:kern w:val="0"/>
                <w:sz w:val="24"/>
                <w:szCs w:val="32"/>
              </w:rPr>
            </w:pPr>
            <w:r>
              <w:rPr>
                <w:rFonts w:hint="eastAsia" w:ascii="宋体" w:hAnsi="宋体" w:eastAsia="宋体" w:cs="宋体"/>
                <w:kern w:val="0"/>
                <w:sz w:val="24"/>
                <w:szCs w:val="32"/>
              </w:rPr>
              <w:t>2</w:t>
            </w:r>
          </w:p>
        </w:tc>
      </w:tr>
    </w:tbl>
    <w:p>
      <w:pPr>
        <w:pStyle w:val="9"/>
        <w:spacing w:line="360" w:lineRule="auto"/>
        <w:ind w:firstLine="0" w:firstLineChars="0"/>
        <w:jc w:val="left"/>
        <w:rPr>
          <w:rFonts w:ascii="宋体" w:hAnsi="宋体" w:eastAsia="宋体" w:cs="宋体"/>
          <w:sz w:val="24"/>
          <w:szCs w:val="32"/>
        </w:rPr>
      </w:pPr>
    </w:p>
    <w:p>
      <w:pPr>
        <w:pStyle w:val="9"/>
        <w:spacing w:line="360" w:lineRule="auto"/>
        <w:ind w:firstLine="0" w:firstLineChars="0"/>
        <w:jc w:val="left"/>
        <w:rPr>
          <w:rFonts w:ascii="宋体" w:hAnsi="宋体" w:eastAsia="宋体" w:cs="宋体"/>
          <w:sz w:val="24"/>
          <w:szCs w:val="32"/>
        </w:rPr>
      </w:pPr>
      <w:r>
        <w:rPr>
          <w:rFonts w:hint="eastAsia" w:ascii="宋体" w:hAnsi="宋体" w:eastAsia="宋体" w:cs="宋体"/>
          <w:sz w:val="24"/>
          <w:szCs w:val="32"/>
        </w:rPr>
        <w:t>2、专业学位课程：见课程附件</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二、直博生课程设置及要求</w:t>
      </w:r>
    </w:p>
    <w:p>
      <w:pPr>
        <w:spacing w:line="360" w:lineRule="auto"/>
        <w:ind w:firstLine="480" w:firstLineChars="200"/>
        <w:jc w:val="left"/>
        <w:rPr>
          <w:rFonts w:ascii="宋体" w:hAnsi="宋体" w:eastAsia="宋体" w:cs="宋体"/>
          <w:sz w:val="24"/>
          <w:szCs w:val="32"/>
        </w:rPr>
      </w:pPr>
      <w:r>
        <w:rPr>
          <w:rFonts w:hint="eastAsia" w:ascii="宋体" w:hAnsi="宋体" w:eastAsia="宋体" w:cs="宋体"/>
          <w:sz w:val="24"/>
          <w:szCs w:val="32"/>
        </w:rPr>
        <w:t>攻读博士学位期间，需选修3门政治课程（中国特色社会主义理论与实践、自然辩证法概论/马克思主义与社会科学方法论/马克思主义原著选读、中国马克思主义与当代）和博士生英语课程（包括博士生学术交流英语、博士生英语听力/口语）。所修学的硕士生专业课程不低于19个学分，其中学科核心课程和专业必修课程（B、C类课程）12学分 。博士专业学位课程1-3门，其中导师讲授课程限1门。</w:t>
      </w:r>
    </w:p>
    <w:p>
      <w:pPr>
        <w:spacing w:line="360" w:lineRule="auto"/>
        <w:ind w:firstLine="480" w:firstLineChars="200"/>
        <w:jc w:val="left"/>
        <w:rPr>
          <w:rFonts w:ascii="宋体" w:hAnsi="宋体" w:eastAsia="宋体" w:cs="宋体"/>
          <w:sz w:val="24"/>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86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课程类型</w:t>
            </w: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课程名称</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学分</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硕士生政治</w:t>
            </w: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中国特色社会主义理论与实践研究</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Borders>
              <w:bottom w:val="single" w:color="auto" w:sz="4" w:space="0"/>
            </w:tcBorders>
            <w:vAlign w:val="center"/>
          </w:tcPr>
          <w:p>
            <w:pPr>
              <w:spacing w:line="360" w:lineRule="auto"/>
              <w:jc w:val="center"/>
              <w:rPr>
                <w:rFonts w:ascii="宋体" w:hAnsi="宋体" w:eastAsia="宋体" w:cs="宋体"/>
                <w:sz w:val="24"/>
                <w:szCs w:val="32"/>
              </w:rPr>
            </w:pPr>
          </w:p>
        </w:tc>
        <w:tc>
          <w:tcPr>
            <w:tcW w:w="486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自然辩证法概论 或 马克思主义与社会科学方法论 或 马克思主义原著选读（三选一）</w:t>
            </w:r>
          </w:p>
        </w:tc>
        <w:tc>
          <w:tcPr>
            <w:tcW w:w="90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08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bottom w:val="nil"/>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博士生政治</w:t>
            </w:r>
          </w:p>
        </w:tc>
        <w:tc>
          <w:tcPr>
            <w:tcW w:w="486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中国马克思主义与当代</w:t>
            </w:r>
          </w:p>
        </w:tc>
        <w:tc>
          <w:tcPr>
            <w:tcW w:w="90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08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博士生英语</w:t>
            </w:r>
          </w:p>
        </w:tc>
        <w:tc>
          <w:tcPr>
            <w:tcW w:w="486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cs="宋体"/>
                <w:sz w:val="24"/>
                <w:szCs w:val="32"/>
              </w:rPr>
              <w:t>博士生学术交流英语</w:t>
            </w:r>
          </w:p>
        </w:tc>
        <w:tc>
          <w:tcPr>
            <w:tcW w:w="90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08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Borders>
              <w:bottom w:val="nil"/>
            </w:tcBorders>
            <w:vAlign w:val="center"/>
          </w:tcPr>
          <w:p>
            <w:pPr>
              <w:spacing w:line="360" w:lineRule="auto"/>
              <w:jc w:val="center"/>
              <w:rPr>
                <w:rFonts w:ascii="宋体" w:hAnsi="宋体" w:eastAsia="宋体" w:cs="宋体"/>
                <w:sz w:val="24"/>
                <w:szCs w:val="32"/>
              </w:rPr>
            </w:pPr>
          </w:p>
        </w:tc>
        <w:tc>
          <w:tcPr>
            <w:tcW w:w="486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cs="宋体"/>
                <w:sz w:val="24"/>
                <w:szCs w:val="32"/>
              </w:rPr>
              <w:t>博士生英语口语/听力</w:t>
            </w:r>
          </w:p>
        </w:tc>
        <w:tc>
          <w:tcPr>
            <w:tcW w:w="90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08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tcBorders>
              <w:bottom w:val="nil"/>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公共必修课B类</w:t>
            </w:r>
          </w:p>
        </w:tc>
        <w:tc>
          <w:tcPr>
            <w:tcW w:w="486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医学科学研究方法以及科研伦理简介</w:t>
            </w:r>
          </w:p>
        </w:tc>
        <w:tc>
          <w:tcPr>
            <w:tcW w:w="90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tcBorders>
              <w:bottom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Borders>
              <w:top w:val="nil"/>
            </w:tcBorders>
            <w:vAlign w:val="center"/>
          </w:tcPr>
          <w:p>
            <w:pPr>
              <w:spacing w:line="360" w:lineRule="auto"/>
              <w:jc w:val="center"/>
              <w:rPr>
                <w:rFonts w:ascii="宋体" w:hAnsi="宋体" w:eastAsia="宋体" w:cs="宋体"/>
                <w:sz w:val="24"/>
                <w:szCs w:val="32"/>
              </w:rPr>
            </w:pPr>
          </w:p>
        </w:tc>
        <w:tc>
          <w:tcPr>
            <w:tcW w:w="4860" w:type="dxa"/>
            <w:tcBorders>
              <w:top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年度生命科学突破解析</w:t>
            </w:r>
          </w:p>
        </w:tc>
        <w:tc>
          <w:tcPr>
            <w:tcW w:w="900" w:type="dxa"/>
            <w:tcBorders>
              <w:top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tcBorders>
              <w:top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专业必修课C类</w:t>
            </w:r>
          </w:p>
        </w:tc>
        <w:tc>
          <w:tcPr>
            <w:tcW w:w="4860" w:type="dxa"/>
            <w:vAlign w:val="center"/>
          </w:tcPr>
          <w:p>
            <w:pPr>
              <w:spacing w:line="360" w:lineRule="auto"/>
              <w:jc w:val="center"/>
              <w:rPr>
                <w:rFonts w:ascii="宋体" w:hAnsi="宋体" w:eastAsia="宋体" w:cs="宋体"/>
                <w:sz w:val="24"/>
                <w:szCs w:val="32"/>
              </w:rPr>
            </w:pPr>
            <w:r>
              <w:rPr>
                <w:rFonts w:ascii="Times New Roman" w:hAnsi="Times New Roman" w:eastAsia="宋体" w:cs="Times New Roman"/>
                <w:sz w:val="24"/>
              </w:rPr>
              <w:t>生物医学数据处理与统计分析</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Times New Roman" w:hAnsi="Times New Roman" w:eastAsia="宋体" w:cs="Times New Roman"/>
                <w:sz w:val="24"/>
              </w:rPr>
              <w:t>内科学新进展</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Times New Roman" w:hAnsi="Times New Roman" w:eastAsia="宋体" w:cs="Times New Roman"/>
                <w:sz w:val="24"/>
              </w:rPr>
              <w:t>外科学新进展</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学术讲座</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spacing w:line="360" w:lineRule="auto"/>
              <w:jc w:val="center"/>
              <w:rPr>
                <w:rFonts w:ascii="宋体" w:hAnsi="宋体" w:eastAsia="宋体" w:cs="宋体"/>
                <w:sz w:val="24"/>
                <w:szCs w:val="32"/>
              </w:rPr>
            </w:pPr>
          </w:p>
          <w:p>
            <w:pPr>
              <w:spacing w:line="360" w:lineRule="auto"/>
              <w:jc w:val="center"/>
              <w:rPr>
                <w:rFonts w:ascii="宋体" w:hAnsi="宋体" w:eastAsia="宋体" w:cs="宋体"/>
                <w:sz w:val="24"/>
                <w:szCs w:val="32"/>
              </w:rPr>
            </w:pPr>
            <w:r>
              <w:rPr>
                <w:rFonts w:hint="eastAsia" w:ascii="宋体" w:hAnsi="宋体" w:eastAsia="宋体" w:cs="宋体"/>
                <w:sz w:val="24"/>
                <w:szCs w:val="32"/>
              </w:rPr>
              <w:t>公共选修课</w:t>
            </w:r>
          </w:p>
          <w:p>
            <w:pPr>
              <w:spacing w:line="360" w:lineRule="auto"/>
              <w:jc w:val="center"/>
              <w:rPr>
                <w:rFonts w:ascii="宋体" w:hAnsi="宋体" w:eastAsia="宋体" w:cs="宋体"/>
                <w:sz w:val="24"/>
                <w:szCs w:val="32"/>
              </w:rPr>
            </w:pPr>
            <w:r>
              <w:rPr>
                <w:rFonts w:hint="eastAsia" w:ascii="宋体" w:hAnsi="宋体" w:eastAsia="宋体" w:cs="宋体"/>
                <w:sz w:val="24"/>
                <w:szCs w:val="32"/>
              </w:rPr>
              <w:t>D类</w:t>
            </w:r>
          </w:p>
        </w:tc>
        <w:tc>
          <w:tcPr>
            <w:tcW w:w="4860" w:type="dxa"/>
            <w:vAlign w:val="center"/>
          </w:tcPr>
          <w:p>
            <w:pPr>
              <w:spacing w:line="360" w:lineRule="auto"/>
              <w:jc w:val="center"/>
              <w:rPr>
                <w:rFonts w:ascii="宋体" w:hAnsi="宋体" w:eastAsia="宋体" w:cs="宋体"/>
                <w:sz w:val="24"/>
                <w:szCs w:val="32"/>
              </w:rPr>
            </w:pPr>
            <w:r>
              <w:rPr>
                <w:rFonts w:ascii="Times New Roman" w:hAnsi="Times New Roman" w:eastAsia="宋体" w:cs="Times New Roman"/>
                <w:sz w:val="24"/>
              </w:rPr>
              <w:t>生物信息学</w:t>
            </w:r>
            <w:r>
              <w:rPr>
                <w:rFonts w:hint="eastAsia" w:ascii="Times New Roman" w:hAnsi="Times New Roman" w:eastAsia="宋体" w:cs="Times New Roman"/>
                <w:sz w:val="24"/>
              </w:rPr>
              <w:t>与医疗大数据</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炎症与疾病</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w:t>
            </w:r>
            <w:r>
              <w:rPr>
                <w:rFonts w:ascii="宋体" w:hAnsi="宋体" w:eastAsia="宋体" w:cs="宋体"/>
                <w:sz w:val="24"/>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t>生物医学科学史</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w:t>
            </w:r>
            <w:r>
              <w:rPr>
                <w:rFonts w:ascii="宋体" w:hAnsi="宋体" w:eastAsia="宋体" w:cs="宋体"/>
                <w:sz w:val="24"/>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ascii="Times New Roman" w:hAnsi="Times New Roman" w:eastAsia="宋体" w:cs="Times New Roman"/>
                <w:sz w:val="24"/>
              </w:rPr>
              <w:t>疾病研究的生物学方法</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Times New Roman" w:hAnsi="Times New Roman" w:eastAsia="宋体" w:cs="Times New Roman"/>
                <w:sz w:val="24"/>
              </w:rPr>
              <w:t>实用医学实验动物学</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ascii="Times New Roman" w:hAnsi="Times New Roman" w:eastAsia="宋体" w:cs="Times New Roman"/>
                <w:sz w:val="24"/>
              </w:rPr>
              <w:t>公共卫生与重大传染病预防</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ascii="Times New Roman" w:hAnsi="Times New Roman" w:eastAsia="宋体" w:cs="Times New Roman"/>
                <w:sz w:val="24"/>
              </w:rPr>
              <w:t>疾病遗传分析导论</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ascii="Times New Roman" w:hAnsi="Times New Roman" w:eastAsia="宋体" w:cs="Times New Roman"/>
                <w:sz w:val="24"/>
              </w:rPr>
              <w:t>组织病理学</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ascii="Times New Roman" w:hAnsi="Times New Roman" w:eastAsia="宋体" w:cs="Times New Roman"/>
                <w:sz w:val="24"/>
              </w:rPr>
              <w:t>分子病原学</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Times New Roman" w:hAnsi="Times New Roman" w:eastAsia="宋体" w:cs="Times New Roman"/>
                <w:sz w:val="24"/>
              </w:rPr>
              <w:t>病毒学研究方法</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48" w:type="dxa"/>
            <w:vMerge w:val="continue"/>
            <w:vAlign w:val="center"/>
          </w:tcPr>
          <w:p>
            <w:pPr>
              <w:spacing w:line="360" w:lineRule="auto"/>
              <w:jc w:val="center"/>
              <w:rPr>
                <w:rFonts w:ascii="宋体" w:hAnsi="宋体" w:eastAsia="宋体" w:cs="宋体"/>
                <w:sz w:val="24"/>
                <w:szCs w:val="32"/>
              </w:rPr>
            </w:pPr>
          </w:p>
        </w:tc>
        <w:tc>
          <w:tcPr>
            <w:tcW w:w="4860" w:type="dxa"/>
            <w:vAlign w:val="center"/>
          </w:tcPr>
          <w:p>
            <w:pPr>
              <w:spacing w:line="360" w:lineRule="auto"/>
              <w:jc w:val="center"/>
              <w:rPr>
                <w:rFonts w:ascii="宋体" w:hAnsi="宋体" w:eastAsia="宋体" w:cs="宋体"/>
                <w:sz w:val="24"/>
                <w:szCs w:val="32"/>
              </w:rPr>
            </w:pPr>
            <w:r>
              <w:rPr>
                <w:rFonts w:hint="eastAsia" w:ascii="Times New Roman" w:hAnsi="Times New Roman" w:eastAsia="宋体" w:cs="Times New Roman"/>
                <w:sz w:val="24"/>
              </w:rPr>
              <w:t>药物新理论与新技术</w:t>
            </w:r>
          </w:p>
        </w:tc>
        <w:tc>
          <w:tcPr>
            <w:tcW w:w="90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2</w:t>
            </w:r>
          </w:p>
        </w:tc>
        <w:tc>
          <w:tcPr>
            <w:tcW w:w="1080" w:type="dxa"/>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bl>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其中口腔科学（1002Z2）方向课程设置</w:t>
      </w:r>
    </w:p>
    <w:tbl>
      <w:tblPr>
        <w:tblStyle w:val="4"/>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4854"/>
        <w:gridCol w:w="927"/>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课程类型</w:t>
            </w:r>
          </w:p>
        </w:tc>
        <w:tc>
          <w:tcPr>
            <w:tcW w:w="485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课程名称</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学分</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restart"/>
            <w:tcBorders>
              <w:left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宋体" w:hAnsi="宋体" w:eastAsia="宋体" w:cs="宋体"/>
                <w:sz w:val="24"/>
                <w:szCs w:val="32"/>
              </w:rPr>
              <w:t>硕士生政治</w:t>
            </w:r>
          </w:p>
        </w:tc>
        <w:tc>
          <w:tcPr>
            <w:tcW w:w="485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中国特色社会主义理论与实践研究</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 xml:space="preserve">2 </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自然辩证法概论 或 马克思主义与社会科学方法论 或 马克思主义原著选读（三选一）</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1</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博士生政治</w:t>
            </w:r>
          </w:p>
        </w:tc>
        <w:tc>
          <w:tcPr>
            <w:tcW w:w="4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中国马克思主义与当代</w:t>
            </w:r>
          </w:p>
        </w:tc>
        <w:tc>
          <w:tcPr>
            <w:tcW w:w="9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restart"/>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宋体" w:hAnsi="宋体" w:eastAsia="宋体" w:cs="宋体"/>
                <w:sz w:val="24"/>
                <w:szCs w:val="32"/>
              </w:rPr>
              <w:t>博士生英语</w:t>
            </w:r>
          </w:p>
        </w:tc>
        <w:tc>
          <w:tcPr>
            <w:tcW w:w="4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cs="宋体"/>
                <w:sz w:val="24"/>
                <w:szCs w:val="32"/>
              </w:rPr>
              <w:t>博士生学术交流英语</w:t>
            </w:r>
          </w:p>
        </w:tc>
        <w:tc>
          <w:tcPr>
            <w:tcW w:w="9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cs="宋体"/>
                <w:sz w:val="24"/>
                <w:szCs w:val="32"/>
              </w:rPr>
              <w:t>博士生英语口语/听力</w:t>
            </w:r>
          </w:p>
        </w:tc>
        <w:tc>
          <w:tcPr>
            <w:tcW w:w="9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w:t>
            </w:r>
          </w:p>
        </w:tc>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32"/>
              </w:rPr>
            </w:pPr>
            <w:r>
              <w:rPr>
                <w:rFonts w:hint="eastAsia" w:ascii="宋体" w:hAnsi="宋体" w:eastAsia="宋体" w:cs="宋体"/>
                <w:sz w:val="24"/>
                <w:szCs w:val="3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restart"/>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公共必修课B类</w:t>
            </w:r>
          </w:p>
        </w:tc>
        <w:tc>
          <w:tcPr>
            <w:tcW w:w="485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口腔医学统计学</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 xml:space="preserve">2 </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口腔循证医学</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2</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口腔生物材料研究与应用</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 xml:space="preserve">2 </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restart"/>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专业必修课C类</w:t>
            </w: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Theme="minorEastAsia" w:hAnsiTheme="minorEastAsia"/>
                <w:sz w:val="24"/>
              </w:rPr>
            </w:pPr>
            <w:r>
              <w:rPr>
                <w:rFonts w:hint="eastAsia" w:asciiTheme="minorEastAsia" w:hAnsiTheme="minorEastAsia"/>
                <w:sz w:val="24"/>
              </w:rPr>
              <w:t>口腔科研方法与基本技术</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asciiTheme="minorEastAsia" w:hAnsiTheme="minorEastAsia"/>
                <w:sz w:val="24"/>
              </w:rPr>
              <w:t>2</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Theme="minorEastAsia" w:hAnsiTheme="minorEastAsia"/>
                <w:sz w:val="24"/>
              </w:rPr>
            </w:pPr>
            <w:r>
              <w:rPr>
                <w:rFonts w:hint="eastAsia" w:asciiTheme="minorEastAsia" w:hAnsiTheme="minorEastAsia"/>
                <w:sz w:val="24"/>
              </w:rPr>
              <w:t>口腔临床研究与设计</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asciiTheme="minorEastAsia" w:hAnsiTheme="minorEastAsia"/>
                <w:sz w:val="24"/>
              </w:rPr>
              <w:t>2</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口腔生物学</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 xml:space="preserve">2 </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restart"/>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公共选修课</w:t>
            </w:r>
          </w:p>
          <w:p>
            <w:pPr>
              <w:spacing w:line="460" w:lineRule="exact"/>
              <w:jc w:val="center"/>
              <w:rPr>
                <w:rFonts w:asciiTheme="minorEastAsia" w:hAnsiTheme="minorEastAsia"/>
                <w:sz w:val="24"/>
              </w:rPr>
            </w:pPr>
            <w:r>
              <w:rPr>
                <w:rFonts w:hint="eastAsia" w:asciiTheme="minorEastAsia" w:hAnsiTheme="minorEastAsia"/>
                <w:sz w:val="24"/>
              </w:rPr>
              <w:t>D类</w:t>
            </w: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hint="eastAsia" w:asciiTheme="minorEastAsia" w:hAnsiTheme="minorEastAsia" w:eastAsiaTheme="minorEastAsia"/>
                <w:sz w:val="24"/>
                <w:lang w:val="en-US" w:eastAsia="zh-CN"/>
              </w:rPr>
            </w:pPr>
            <w:r>
              <w:rPr>
                <w:rFonts w:hint="eastAsia" w:asciiTheme="minorEastAsia" w:hAnsiTheme="minorEastAsia"/>
                <w:sz w:val="24"/>
              </w:rPr>
              <w:t>口腔</w:t>
            </w:r>
            <w:r>
              <w:rPr>
                <w:rFonts w:hint="eastAsia" w:asciiTheme="minorEastAsia" w:hAnsiTheme="minorEastAsia"/>
                <w:sz w:val="24"/>
                <w:lang w:eastAsia="zh-CN"/>
              </w:rPr>
              <w:t>医学人文学概论</w:t>
            </w:r>
            <w:bookmarkStart w:id="0" w:name="_GoBack"/>
            <w:bookmarkEnd w:id="0"/>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2</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Theme="minorEastAsia" w:hAnsiTheme="minorEastAsia"/>
                <w:sz w:val="24"/>
              </w:rPr>
            </w:pPr>
            <w:r>
              <w:rPr>
                <w:rFonts w:hint="eastAsia" w:asciiTheme="minorEastAsia" w:hAnsiTheme="minorEastAsia"/>
                <w:sz w:val="24"/>
              </w:rPr>
              <w:t>口腔临床技能模拟训练</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asciiTheme="minorEastAsia" w:hAnsiTheme="minorEastAsia"/>
                <w:sz w:val="24"/>
              </w:rPr>
              <w:t>4</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Theme="minorEastAsia" w:hAnsiTheme="minorEastAsia"/>
                <w:sz w:val="24"/>
              </w:rPr>
            </w:pPr>
            <w:r>
              <w:rPr>
                <w:rFonts w:hint="eastAsia" w:asciiTheme="minorEastAsia" w:hAnsiTheme="minorEastAsia"/>
                <w:sz w:val="24"/>
              </w:rPr>
              <w:t>口腔临床案例分析</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2</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hint="eastAsia" w:asciiTheme="minorEastAsia" w:hAnsiTheme="minorEastAsia"/>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Theme="minorEastAsia" w:hAnsiTheme="minorEastAsia"/>
                <w:sz w:val="24"/>
              </w:rPr>
            </w:pPr>
            <w:r>
              <w:rPr>
                <w:rFonts w:hint="eastAsia" w:asciiTheme="minorEastAsia" w:hAnsiTheme="minorEastAsia"/>
                <w:sz w:val="24"/>
              </w:rPr>
              <w:t>口腔疾病临床诊断与治疗</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asciiTheme="minorEastAsia" w:hAnsiTheme="minorEastAsia"/>
                <w:sz w:val="24"/>
              </w:rPr>
              <w:t>3</w:t>
            </w: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r>
              <w:rPr>
                <w:rFonts w:asciiTheme="minorEastAsia" w:hAnsiTheme="minorEastAsia"/>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Merge w:val="continue"/>
            <w:tcBorders>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Theme="minorEastAsia" w:hAnsiTheme="minorEastAsia"/>
                <w:sz w:val="24"/>
              </w:rPr>
            </w:pPr>
            <w:r>
              <w:rPr>
                <w:rFonts w:hint="eastAsia" w:asciiTheme="minorEastAsia" w:hAnsiTheme="minorEastAsia"/>
                <w:sz w:val="24"/>
              </w:rPr>
              <w:t>其他选修课参考临床医学学术学位博士生课程选修课</w:t>
            </w:r>
          </w:p>
        </w:tc>
        <w:tc>
          <w:tcPr>
            <w:tcW w:w="9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sz w:val="24"/>
              </w:rPr>
            </w:pPr>
          </w:p>
        </w:tc>
      </w:tr>
    </w:tbl>
    <w:p>
      <w:pPr>
        <w:spacing w:line="360" w:lineRule="auto"/>
        <w:jc w:val="left"/>
        <w:rPr>
          <w:rFonts w:ascii="宋体" w:hAnsi="宋体" w:eastAsia="宋体" w:cs="宋体"/>
          <w:sz w:val="24"/>
          <w:szCs w:val="32"/>
        </w:rPr>
      </w:pPr>
      <w:r>
        <w:rPr>
          <w:rFonts w:hint="eastAsia" w:ascii="宋体" w:hAnsi="宋体" w:eastAsia="宋体" w:cs="宋体"/>
          <w:sz w:val="24"/>
          <w:szCs w:val="32"/>
        </w:rPr>
        <w:t>备注：专业学位课程见课程附件</w:t>
      </w: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sz w:val="24"/>
          <w:szCs w:val="32"/>
        </w:rPr>
      </w:pPr>
    </w:p>
    <w:p>
      <w:pPr>
        <w:spacing w:line="360" w:lineRule="auto"/>
        <w:jc w:val="left"/>
        <w:rPr>
          <w:rFonts w:ascii="宋体" w:hAnsi="宋体" w:eastAsia="宋体" w:cs="宋体"/>
          <w:b/>
          <w:bCs/>
          <w:sz w:val="24"/>
          <w:szCs w:val="32"/>
        </w:rPr>
      </w:pPr>
      <w:r>
        <w:rPr>
          <w:rFonts w:hint="eastAsia" w:ascii="宋体" w:hAnsi="宋体" w:eastAsia="宋体" w:cs="宋体"/>
          <w:b/>
          <w:bCs/>
          <w:sz w:val="24"/>
          <w:szCs w:val="32"/>
        </w:rPr>
        <w:t>附件：博士生专业学位课程</w:t>
      </w:r>
    </w:p>
    <w:tbl>
      <w:tblPr>
        <w:tblStyle w:val="4"/>
        <w:tblW w:w="8700" w:type="dxa"/>
        <w:jc w:val="center"/>
        <w:tblLayout w:type="fixed"/>
        <w:tblCellMar>
          <w:top w:w="0" w:type="dxa"/>
          <w:left w:w="0" w:type="dxa"/>
          <w:bottom w:w="0" w:type="dxa"/>
          <w:right w:w="0" w:type="dxa"/>
        </w:tblCellMar>
      </w:tblPr>
      <w:tblGrid>
        <w:gridCol w:w="960"/>
        <w:gridCol w:w="3472"/>
        <w:gridCol w:w="1549"/>
        <w:gridCol w:w="2719"/>
      </w:tblGrid>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课程名称</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课程编号</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任课老师</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细胞与分子免疫学</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1001C01</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侯亚义等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分子病原学</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1001C02</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吴稚伟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组织病理学</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1001C04</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韩晓冬等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生物医学科学史</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1001C28</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侯亚义等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疾病研究的生物学方法</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1001C30</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王宏伟、王婷婷等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药物新理论与新技术</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1001C33</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胡一桥、杜荣辉等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公共卫生与重大传染病预防</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1001C34</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吴稚伟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生物信息学与医疗大数据</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1001D01</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杨敬平、方雷等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疾病遗传分析导论</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1001D02</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王亚平、李宽钰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学术讲座</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1001D03</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347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病毒学研究方法</w:t>
            </w:r>
          </w:p>
        </w:tc>
        <w:tc>
          <w:tcPr>
            <w:tcW w:w="154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1001D04</w:t>
            </w:r>
          </w:p>
        </w:tc>
        <w:tc>
          <w:tcPr>
            <w:tcW w:w="2719"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吴稚伟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临床药理学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周国华等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肿瘤靶向与个体化治疗进展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于正洪、刘宝瑞</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肺癌的基础与临床</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临床肿瘤学理论与实践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钱晓萍</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急诊医学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聂时南</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高级创伤生命支持</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虞文魁</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妇科内分泌学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孙海翔</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妇科内镜学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周怀君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妇科肿瘤学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100201X09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周怀君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围产医学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戴毅敏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产前诊断技术及遗传咨询</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李洁</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妇产科超声影像学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茹彤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母胎医学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李洁</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神经病学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朱武生、徐运</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神经病学诊断治疗进展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朱武生、赵辉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神经介入诊疗理论和技能培训</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朱武生、李敬伟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鼻内窥镜外科学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高下</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耳鼻咽喉－头颈肿瘤学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钱晓云</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耳科及听力学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100201X19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高下</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耳鼻喉科学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钱晓云</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外科学基础</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管文贤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肝胆胰外科学及器官移植学进展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孙倍成</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营养支持</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汪灏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整形外科学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谭谦</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心胸外科学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王东进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泌尿外科学专业理论与实践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郭宏骞</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骨科学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蒋青</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微创骨科：基础与临床</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刘臻</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脊柱矫形学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100201X29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邱勇</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原发性肾脏疾病</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李世军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肾脏病理学检查</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曾彩虹</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延缓慢性肾脏病进展的理论及实践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王金泉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糖尿病</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毕艳</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呼吸内科学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苏欣</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肺弥漫性疾病诊治进展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蔡后荣</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当代呼吸病学进展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宋勇</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内分泌及代谢性疾病的研究及诊治进展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沈山梅</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感染性疾病新进展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吴超</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抗微生物药物发展现状与合理应用</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100201X39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吴超</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肾小球疾病的临床及病理诊断</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谢红浪</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疼痛生理学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金毅、马正良</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麻醉药理学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段满林、嵇晴、周路阳</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医学影像学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张龙江、张冰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影像解剖学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影像技术与基础</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朱斌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血液内科进展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陈兵</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消化病学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汪芳裕、徐桂芳</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消化内镜学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张晓华、王雷</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消化系统肿瘤的早期诊治</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100201X49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刘炯、凌亭生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风湿病学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冯学兵</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组织学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冯学兵</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李茹恬</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肿瘤诊疗新进展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邹征云</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专业英语</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戴毅敏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辅助生殖技术</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孙海翔</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心肺脑复苏</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聂时南、李冰冰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普通外科学进展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管文贤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器官移植学进展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施晓雷</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肿瘤生物学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100201X59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魏嘉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小儿心脏外科学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100201X60</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王东进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心血管病学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徐标</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心血管外科围手术期诊疗</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王东进</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血管外科学(静脉外科）</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周敏</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血管外科学（动脉外科）</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乔彤</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麻醉与围术期医学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顾小萍</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泌尿系统肿瘤研究新进展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张士伟</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眼科新进展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胡凯、解正高</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儿科肠道病毒研究</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100201X68</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金玉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儿童遗传代谢性肝病诊治及研究进展</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100201X69</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金玉</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口腔生物材料研究与应用</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孟翔峰</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口腔循证医学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口腔生物学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苗雷英</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84</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口腔医学科研方法与基本技术</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苗雷英</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85</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口腔临床医学研究与设计</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100301X05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86</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kern w:val="0"/>
                <w:sz w:val="24"/>
                <w:szCs w:val="32"/>
              </w:rPr>
            </w:pPr>
            <w:r>
              <w:rPr>
                <w:rFonts w:hint="eastAsia" w:ascii="宋体" w:hAnsi="宋体" w:eastAsia="宋体" w:cs="方正书宋_GBK"/>
                <w:sz w:val="24"/>
              </w:rPr>
              <w:t>高级口腔医学</w:t>
            </w:r>
            <w:r>
              <w:rPr>
                <w:rFonts w:ascii="宋体" w:hAnsi="宋体" w:eastAsia="宋体" w:cs="方正书宋_GBK"/>
                <w:sz w:val="24"/>
              </w:rPr>
              <w:t>统计学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87</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kern w:val="0"/>
                <w:sz w:val="24"/>
                <w:szCs w:val="32"/>
              </w:rPr>
            </w:pPr>
            <w:r>
              <w:rPr>
                <w:rFonts w:hint="eastAsia" w:ascii="宋体" w:hAnsi="宋体" w:eastAsia="宋体" w:cs="方正书宋_GBK"/>
                <w:sz w:val="24"/>
              </w:rPr>
              <w:t>口腔应用医学伦理学</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105201X02</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孙卫斌</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88</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kern w:val="0"/>
                <w:sz w:val="24"/>
                <w:szCs w:val="32"/>
              </w:rPr>
            </w:pPr>
            <w:r>
              <w:rPr>
                <w:rFonts w:hint="eastAsia" w:ascii="宋体" w:hAnsi="宋体" w:eastAsia="宋体" w:cs="方正书宋_GBK"/>
                <w:sz w:val="24"/>
              </w:rPr>
              <w:t>口腔临床研究与设计</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105201X03</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雷浪</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89</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口腔临床案例分析</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105201X04</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林梓桐</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90</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口腔</w:t>
            </w:r>
            <w:r>
              <w:rPr>
                <w:rFonts w:ascii="宋体" w:hAnsi="宋体" w:eastAsia="宋体" w:cs="方正书宋_GBK"/>
                <w:sz w:val="24"/>
              </w:rPr>
              <w:t>循证医学</w:t>
            </w:r>
            <w:r>
              <w:rPr>
                <w:rFonts w:hint="eastAsia" w:ascii="宋体" w:hAnsi="宋体" w:eastAsia="宋体" w:cs="方正书宋_GBK"/>
                <w:sz w:val="24"/>
              </w:rPr>
              <w:t>实践</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105201X05</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谢思静</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91</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口腔循证</w:t>
            </w:r>
            <w:r>
              <w:rPr>
                <w:rFonts w:ascii="宋体" w:hAnsi="宋体" w:eastAsia="宋体" w:cs="方正书宋_GBK"/>
                <w:sz w:val="24"/>
              </w:rPr>
              <w:t>临床决策</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105201X06</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谢思静</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92</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专科技能模拟训练</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105201X07</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口腔医院</w:t>
            </w:r>
          </w:p>
        </w:tc>
      </w:tr>
      <w:tr>
        <w:tblPrEx>
          <w:tblCellMar>
            <w:top w:w="0" w:type="dxa"/>
            <w:left w:w="0" w:type="dxa"/>
            <w:bottom w:w="0" w:type="dxa"/>
            <w:right w:w="0" w:type="dxa"/>
          </w:tblCellMar>
        </w:tblPrEx>
        <w:trPr>
          <w:trHeight w:val="425"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93</w:t>
            </w:r>
          </w:p>
        </w:tc>
        <w:tc>
          <w:tcPr>
            <w:tcW w:w="3472"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方正书宋_GBK"/>
                <w:sz w:val="24"/>
              </w:rPr>
            </w:pPr>
            <w:r>
              <w:rPr>
                <w:rFonts w:hint="eastAsia" w:ascii="宋体" w:hAnsi="宋体" w:eastAsia="宋体" w:cs="方正书宋_GBK"/>
                <w:sz w:val="24"/>
              </w:rPr>
              <w:t>住院总实训课程</w:t>
            </w:r>
          </w:p>
        </w:tc>
        <w:tc>
          <w:tcPr>
            <w:tcW w:w="154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105101X01</w:t>
            </w:r>
          </w:p>
        </w:tc>
        <w:tc>
          <w:tcPr>
            <w:tcW w:w="271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tcPr>
          <w:p>
            <w:pPr>
              <w:spacing w:line="360" w:lineRule="auto"/>
              <w:jc w:val="center"/>
              <w:rPr>
                <w:rFonts w:ascii="宋体" w:hAnsi="宋体" w:eastAsia="宋体" w:cs="宋体"/>
                <w:color w:val="000000"/>
                <w:kern w:val="0"/>
                <w:sz w:val="24"/>
                <w:lang w:bidi="ar"/>
              </w:rPr>
            </w:pPr>
            <w:r>
              <w:rPr>
                <w:rFonts w:hint="eastAsia" w:ascii="宋体" w:hAnsi="宋体" w:eastAsia="宋体" w:cs="宋体"/>
                <w:kern w:val="0"/>
                <w:sz w:val="24"/>
                <w:szCs w:val="32"/>
              </w:rPr>
              <w:t>附属医院</w:t>
            </w:r>
          </w:p>
        </w:tc>
      </w:tr>
    </w:tbl>
    <w:p>
      <w:pPr>
        <w:spacing w:line="360" w:lineRule="auto"/>
        <w:jc w:val="left"/>
        <w:rPr>
          <w:rFonts w:ascii="宋体" w:hAnsi="宋体" w:eastAsia="宋体" w:cs="宋体"/>
          <w:sz w:val="24"/>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Arial Unicode MS"/>
    <w:panose1 w:val="00000000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52A25D"/>
    <w:multiLevelType w:val="singleLevel"/>
    <w:tmpl w:val="8652A25D"/>
    <w:lvl w:ilvl="0" w:tentative="0">
      <w:start w:val="4"/>
      <w:numFmt w:val="chineseCounting"/>
      <w:suff w:val="nothing"/>
      <w:lvlText w:val="%1、"/>
      <w:lvlJc w:val="left"/>
      <w:rPr>
        <w:rFonts w:hint="eastAsia"/>
      </w:rPr>
    </w:lvl>
  </w:abstractNum>
  <w:abstractNum w:abstractNumId="1">
    <w:nsid w:val="A9A5B776"/>
    <w:multiLevelType w:val="singleLevel"/>
    <w:tmpl w:val="A9A5B776"/>
    <w:lvl w:ilvl="0" w:tentative="0">
      <w:start w:val="3"/>
      <w:numFmt w:val="upperLetter"/>
      <w:lvlText w:val="%1."/>
      <w:lvlJc w:val="left"/>
      <w:pPr>
        <w:tabs>
          <w:tab w:val="left" w:pos="312"/>
        </w:tabs>
      </w:pPr>
    </w:lvl>
  </w:abstractNum>
  <w:abstractNum w:abstractNumId="2">
    <w:nsid w:val="DC3B9CF8"/>
    <w:multiLevelType w:val="singleLevel"/>
    <w:tmpl w:val="DC3B9CF8"/>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E7"/>
    <w:rsid w:val="001B1348"/>
    <w:rsid w:val="00286982"/>
    <w:rsid w:val="0031659B"/>
    <w:rsid w:val="0032457D"/>
    <w:rsid w:val="00400258"/>
    <w:rsid w:val="00424436"/>
    <w:rsid w:val="00441932"/>
    <w:rsid w:val="00496660"/>
    <w:rsid w:val="006B5441"/>
    <w:rsid w:val="006E3EE1"/>
    <w:rsid w:val="00715404"/>
    <w:rsid w:val="007720C1"/>
    <w:rsid w:val="00855067"/>
    <w:rsid w:val="00883456"/>
    <w:rsid w:val="008D7F7C"/>
    <w:rsid w:val="00927F42"/>
    <w:rsid w:val="0096287A"/>
    <w:rsid w:val="009D5629"/>
    <w:rsid w:val="009F7A32"/>
    <w:rsid w:val="00AA4B3A"/>
    <w:rsid w:val="00AC7526"/>
    <w:rsid w:val="00B656E7"/>
    <w:rsid w:val="00BA3537"/>
    <w:rsid w:val="00E31F94"/>
    <w:rsid w:val="00EF706C"/>
    <w:rsid w:val="01F22A1D"/>
    <w:rsid w:val="077266F0"/>
    <w:rsid w:val="114C5C9A"/>
    <w:rsid w:val="19950014"/>
    <w:rsid w:val="217D2B5A"/>
    <w:rsid w:val="30557EB4"/>
    <w:rsid w:val="357074CA"/>
    <w:rsid w:val="41B83B65"/>
    <w:rsid w:val="44291236"/>
    <w:rsid w:val="49E47EF2"/>
    <w:rsid w:val="4B953586"/>
    <w:rsid w:val="4D954E44"/>
    <w:rsid w:val="4F0D7277"/>
    <w:rsid w:val="57F33C69"/>
    <w:rsid w:val="59CA3656"/>
    <w:rsid w:val="5B3855CC"/>
    <w:rsid w:val="622124B9"/>
    <w:rsid w:val="6EB614B5"/>
    <w:rsid w:val="6F7D7D8F"/>
    <w:rsid w:val="7378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1153</Words>
  <Characters>6573</Characters>
  <Lines>54</Lines>
  <Paragraphs>15</Paragraphs>
  <TotalTime>11</TotalTime>
  <ScaleCrop>false</ScaleCrop>
  <LinksUpToDate>false</LinksUpToDate>
  <CharactersWithSpaces>7711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2020-06-11T05:34:00Z</dcterms:created>
  <dc:creator>Wang</dc:creator>
  <cp:lastModifiedBy>HP</cp:lastModifiedBy>
  <dcterms:modified xsi:type="dcterms:W3CDTF">2020-08-21T08:04:34Z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