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5C9" w:rsidRPr="00BC12A5" w:rsidRDefault="00575736" w:rsidP="00575736">
      <w:pPr>
        <w:ind w:firstLineChars="400" w:firstLine="964"/>
        <w:jc w:val="left"/>
        <w:rPr>
          <w:rFonts w:ascii="楷体" w:eastAsia="楷体" w:hAnsi="楷体"/>
          <w:b/>
          <w:sz w:val="24"/>
        </w:rPr>
      </w:pPr>
      <w:r>
        <w:rPr>
          <w:rFonts w:ascii="楷体" w:eastAsia="楷体" w:hAnsi="楷体" w:hint="eastAsia"/>
          <w:b/>
          <w:sz w:val="24"/>
        </w:rPr>
        <w:t>信息与通信工程（0</w:t>
      </w:r>
      <w:r>
        <w:rPr>
          <w:rFonts w:ascii="楷体" w:eastAsia="楷体" w:hAnsi="楷体"/>
          <w:b/>
          <w:sz w:val="24"/>
        </w:rPr>
        <w:t xml:space="preserve">810 </w:t>
      </w:r>
      <w:r>
        <w:rPr>
          <w:rFonts w:ascii="楷体" w:eastAsia="楷体" w:hAnsi="楷体" w:hint="eastAsia"/>
          <w:b/>
          <w:sz w:val="24"/>
        </w:rPr>
        <w:t>一级学科</w:t>
      </w:r>
      <w:r>
        <w:rPr>
          <w:rFonts w:ascii="楷体" w:eastAsia="楷体" w:hAnsi="楷体"/>
          <w:b/>
          <w:sz w:val="24"/>
        </w:rPr>
        <w:t>）</w:t>
      </w:r>
      <w:r w:rsidR="007935C9" w:rsidRPr="00BC12A5">
        <w:rPr>
          <w:rFonts w:ascii="楷体" w:eastAsia="楷体" w:hAnsi="楷体" w:hint="eastAsia"/>
          <w:b/>
          <w:sz w:val="24"/>
        </w:rPr>
        <w:t>博士研究生培养方案</w:t>
      </w:r>
    </w:p>
    <w:p w:rsidR="00767048" w:rsidRDefault="00767048" w:rsidP="00096349">
      <w:pPr>
        <w:pStyle w:val="ac"/>
        <w:numPr>
          <w:ilvl w:val="0"/>
          <w:numId w:val="22"/>
        </w:numPr>
        <w:ind w:firstLineChars="0"/>
        <w:jc w:val="left"/>
        <w:rPr>
          <w:rFonts w:ascii="仿宋" w:eastAsia="仿宋" w:hAnsi="仿宋"/>
          <w:b/>
          <w:szCs w:val="21"/>
        </w:rPr>
      </w:pPr>
      <w:r w:rsidRPr="00096349">
        <w:rPr>
          <w:rFonts w:ascii="仿宋" w:eastAsia="仿宋" w:hAnsi="仿宋" w:hint="eastAsia"/>
          <w:b/>
          <w:szCs w:val="21"/>
        </w:rPr>
        <w:t>学科介绍</w:t>
      </w:r>
    </w:p>
    <w:p w:rsidR="00BE28F2" w:rsidRPr="004F0F85" w:rsidRDefault="00980741" w:rsidP="00473892">
      <w:pPr>
        <w:ind w:firstLineChars="200" w:firstLine="420"/>
        <w:jc w:val="left"/>
        <w:rPr>
          <w:rFonts w:ascii="仿宋" w:eastAsia="仿宋" w:hAnsi="仿宋"/>
          <w:szCs w:val="21"/>
        </w:rPr>
      </w:pPr>
      <w:r w:rsidRPr="004F0F85">
        <w:rPr>
          <w:rFonts w:ascii="仿宋" w:eastAsia="仿宋" w:hAnsi="仿宋" w:hint="eastAsia"/>
          <w:szCs w:val="21"/>
        </w:rPr>
        <w:t>“</w:t>
      </w:r>
      <w:r w:rsidRPr="004F0F85">
        <w:rPr>
          <w:rFonts w:ascii="仿宋" w:eastAsia="仿宋" w:hAnsi="仿宋"/>
          <w:szCs w:val="21"/>
        </w:rPr>
        <w:t>信息与通信工程</w:t>
      </w:r>
      <w:r w:rsidRPr="004F0F85">
        <w:rPr>
          <w:rFonts w:ascii="仿宋" w:eastAsia="仿宋" w:hAnsi="仿宋" w:hint="eastAsia"/>
          <w:szCs w:val="21"/>
        </w:rPr>
        <w:t>”学科以信号与信息处理、通信与信息系统二级学科为基础，</w:t>
      </w:r>
      <w:r w:rsidR="00BE28F2" w:rsidRPr="004F0F85">
        <w:rPr>
          <w:rFonts w:ascii="仿宋" w:eastAsia="仿宋" w:hAnsi="仿宋"/>
          <w:szCs w:val="21"/>
        </w:rPr>
        <w:t>结合南京大学理科优势，借鉴国际一流工科院校的应用学科办学模式，与中国电子科技集团公司第十四研究所联合共建，“理工融合”</w:t>
      </w:r>
      <w:r w:rsidR="00BE28F2" w:rsidRPr="004F0F85">
        <w:rPr>
          <w:rFonts w:ascii="仿宋" w:eastAsia="仿宋" w:hAnsi="仿宋" w:hint="eastAsia"/>
          <w:szCs w:val="21"/>
        </w:rPr>
        <w:t>。</w:t>
      </w:r>
      <w:r w:rsidR="00BE28F2" w:rsidRPr="004F0F85">
        <w:rPr>
          <w:rFonts w:ascii="仿宋" w:eastAsia="仿宋" w:hAnsi="仿宋"/>
          <w:szCs w:val="21"/>
        </w:rPr>
        <w:t>是南京大学发展应用性学科、建设新工科的重大战略举措，得到“211工程”和“985工程”重点支持，逐步形成自己的学科建设特点和人才培养模式，培养的学生深受用人单位的好评。</w:t>
      </w:r>
    </w:p>
    <w:p w:rsidR="00980741" w:rsidRPr="004F0F85" w:rsidRDefault="00980741" w:rsidP="00473892">
      <w:pPr>
        <w:ind w:firstLineChars="200" w:firstLine="420"/>
        <w:jc w:val="left"/>
        <w:rPr>
          <w:rFonts w:ascii="仿宋" w:eastAsia="仿宋" w:hAnsi="仿宋"/>
          <w:szCs w:val="21"/>
        </w:rPr>
      </w:pPr>
      <w:r w:rsidRPr="004F0F85">
        <w:rPr>
          <w:rFonts w:ascii="仿宋" w:eastAsia="仿宋" w:hAnsi="仿宋" w:hint="eastAsia"/>
          <w:szCs w:val="21"/>
        </w:rPr>
        <w:t>该学科现已</w:t>
      </w:r>
      <w:r w:rsidRPr="004F0F85">
        <w:rPr>
          <w:rFonts w:ascii="仿宋" w:eastAsia="仿宋" w:hAnsi="仿宋"/>
          <w:szCs w:val="21"/>
        </w:rPr>
        <w:t>建有雷达信号处理、多媒体通信、信号处理系统与集成电路、宽带网与智能交通、空间信息网络、无线通信与网络、光量子信息技术、智能信息处理等实验室。</w:t>
      </w:r>
      <w:r w:rsidR="00BE28F2" w:rsidRPr="004F0F85">
        <w:rPr>
          <w:rFonts w:ascii="仿宋" w:eastAsia="仿宋" w:hAnsi="仿宋"/>
          <w:szCs w:val="21"/>
        </w:rPr>
        <w:t>承担了国家重大专项、863、973、自然科学基金等国家、部省级项目，并多次获奖，产生了可喜的社会效益和经济效益。</w:t>
      </w:r>
    </w:p>
    <w:p w:rsidR="00C03CBD" w:rsidRPr="004F0F85" w:rsidRDefault="00C03CBD" w:rsidP="00473892">
      <w:pPr>
        <w:ind w:firstLineChars="200" w:firstLine="420"/>
        <w:jc w:val="left"/>
        <w:rPr>
          <w:rFonts w:ascii="仿宋" w:eastAsia="仿宋" w:hAnsi="仿宋"/>
          <w:szCs w:val="21"/>
        </w:rPr>
      </w:pPr>
      <w:r w:rsidRPr="004F0F85">
        <w:rPr>
          <w:rFonts w:ascii="仿宋" w:eastAsia="仿宋" w:hAnsi="仿宋" w:hint="eastAsia"/>
          <w:szCs w:val="21"/>
        </w:rPr>
        <w:t>“信号处理系统与集成电路”实验室</w:t>
      </w:r>
      <w:r w:rsidRPr="004F0F85">
        <w:rPr>
          <w:rFonts w:ascii="仿宋" w:eastAsia="仿宋" w:hAnsi="仿宋"/>
          <w:szCs w:val="21"/>
        </w:rPr>
        <w:t>主要研究面向通信、存储系统和新一代人工智能的数字信号处理（DSP）技术。近年来承担了国家和有关部委资助的多个科研项目，并且与国际型大企业在高速通信系统设计与硬件实现方面开展了持续的合作，签署合作项目多项；在深度学习的硬件实现与优化方面取得了一系列技术性突破，同期成果在国际同行中处于前列。</w:t>
      </w:r>
    </w:p>
    <w:p w:rsidR="00C03CBD" w:rsidRPr="004F0F85" w:rsidRDefault="00C03CBD" w:rsidP="00473892">
      <w:pPr>
        <w:ind w:firstLineChars="200" w:firstLine="420"/>
        <w:jc w:val="left"/>
        <w:rPr>
          <w:rFonts w:ascii="仿宋" w:eastAsia="仿宋" w:hAnsi="仿宋"/>
          <w:szCs w:val="21"/>
        </w:rPr>
      </w:pPr>
      <w:r w:rsidRPr="004F0F85">
        <w:rPr>
          <w:rFonts w:ascii="仿宋" w:eastAsia="仿宋" w:hAnsi="仿宋" w:hint="eastAsia"/>
          <w:szCs w:val="21"/>
        </w:rPr>
        <w:t>“宽带网与智能交通”实验室</w:t>
      </w:r>
      <w:r w:rsidRPr="004F0F85">
        <w:rPr>
          <w:rFonts w:ascii="仿宋" w:eastAsia="仿宋" w:hAnsi="仿宋"/>
          <w:szCs w:val="21"/>
        </w:rPr>
        <w:t>除了宽带专网与物联网基础外，着重于网络视频图像处理算法及其在智能交通系统领域的应用研究，承担江苏省“省域智能交通运输信息云服务平台”、“基于云计算物联网的智慧高速公路应急指挥应用”等多项示范工程项目。其中，合作完成的“智慧沪宁高速信息化系统”获江苏省科学技术奖；设计了我国第一条真正意义上的数字化高速公路——“通启高速”，研发了自主知识产权分布式多媒体数据单元DMDU专网设备，奠定了我国高速公路专网架构</w:t>
      </w:r>
      <w:r w:rsidRPr="004F0F85">
        <w:rPr>
          <w:rFonts w:ascii="仿宋" w:eastAsia="仿宋" w:hAnsi="仿宋" w:hint="eastAsia"/>
          <w:szCs w:val="21"/>
        </w:rPr>
        <w:t>。</w:t>
      </w:r>
    </w:p>
    <w:p w:rsidR="00C03CBD" w:rsidRPr="004F0F85" w:rsidRDefault="00C03CBD" w:rsidP="00473892">
      <w:pPr>
        <w:ind w:firstLineChars="200" w:firstLine="420"/>
        <w:jc w:val="left"/>
        <w:rPr>
          <w:rFonts w:ascii="仿宋" w:eastAsia="仿宋" w:hAnsi="仿宋"/>
          <w:szCs w:val="21"/>
        </w:rPr>
      </w:pPr>
      <w:r w:rsidRPr="004F0F85">
        <w:rPr>
          <w:rFonts w:ascii="仿宋" w:eastAsia="仿宋" w:hAnsi="仿宋" w:hint="eastAsia"/>
          <w:szCs w:val="21"/>
        </w:rPr>
        <w:t>“光量子信息技术”实验室</w:t>
      </w:r>
      <w:r w:rsidRPr="004F0F85">
        <w:rPr>
          <w:rFonts w:ascii="仿宋" w:eastAsia="仿宋" w:hAnsi="仿宋"/>
          <w:szCs w:val="21"/>
        </w:rPr>
        <w:t>研究方向包括集成光子器件、光量子芯片技术和光量子信息网络构建等。目前已经实现首个有源光量子集成芯片，以及基于无人机平台的移动光量子通信。发展集成化的量子光源、光量子信息处理、通信和探测技术，可以提高光子器件的性能，缩小系统体积，实现光量子通信、传感、成像技术的实用化，便于移动平台搭载，并为量子力学基本原理研究提供实验基础。</w:t>
      </w:r>
    </w:p>
    <w:p w:rsidR="00980741" w:rsidRDefault="00C03CBD" w:rsidP="00473892">
      <w:pPr>
        <w:ind w:firstLineChars="200" w:firstLine="420"/>
        <w:jc w:val="left"/>
        <w:rPr>
          <w:rFonts w:ascii="Georgia" w:hAnsi="Georgia"/>
          <w:color w:val="666666"/>
          <w:szCs w:val="21"/>
        </w:rPr>
      </w:pPr>
      <w:r w:rsidRPr="004F0F85">
        <w:rPr>
          <w:rFonts w:ascii="仿宋" w:eastAsia="仿宋" w:hAnsi="仿宋" w:hint="eastAsia"/>
          <w:szCs w:val="21"/>
        </w:rPr>
        <w:t>“空间信息网络”实验室</w:t>
      </w:r>
      <w:r w:rsidRPr="004F0F85">
        <w:rPr>
          <w:rFonts w:ascii="仿宋" w:eastAsia="仿宋" w:hAnsi="仿宋"/>
          <w:szCs w:val="21"/>
        </w:rPr>
        <w:t>主要面向北斗、低轨通信星座、深空探测等国家重大需求，开展深空、近地网络智能网络协议设计与性能优化，星地可靠高速激光组网，空间信息网络半实物仿真评估，空间网络拓扑规划，空间软件定义网络等研究工作，并积极参与国际、国内空间网络技术标准化。近年来承担国家科技重大专项子课题、民用航天十三五技术预先研究重点项目、国家自然科学基金项目、江苏省科技厅未来网络前瞻性研究项目及横向课题等十余项。参与制定CCSDS国际标准、国内航天行业标准各一项。具有自主知识产权的空间网络半实物仿真系统已服务于多项航天型号任务研制</w:t>
      </w:r>
      <w:r w:rsidRPr="004F0F85">
        <w:rPr>
          <w:rFonts w:ascii="仿宋" w:eastAsia="仿宋" w:hAnsi="仿宋" w:hint="eastAsia"/>
          <w:szCs w:val="21"/>
        </w:rPr>
        <w:t>。</w:t>
      </w:r>
    </w:p>
    <w:p w:rsidR="007935C9" w:rsidRPr="00096349" w:rsidRDefault="006C5CC5" w:rsidP="007935C9">
      <w:pPr>
        <w:jc w:val="left"/>
        <w:rPr>
          <w:rFonts w:ascii="仿宋" w:eastAsia="仿宋" w:hAnsi="仿宋"/>
          <w:b/>
          <w:szCs w:val="21"/>
        </w:rPr>
      </w:pPr>
      <w:r w:rsidRPr="00096349">
        <w:rPr>
          <w:rFonts w:ascii="仿宋" w:eastAsia="仿宋" w:hAnsi="仿宋" w:hint="eastAsia"/>
          <w:b/>
          <w:szCs w:val="21"/>
        </w:rPr>
        <w:t>二</w:t>
      </w:r>
      <w:r w:rsidR="007935C9" w:rsidRPr="00096349">
        <w:rPr>
          <w:rFonts w:ascii="仿宋" w:eastAsia="仿宋" w:hAnsi="仿宋" w:hint="eastAsia"/>
          <w:b/>
          <w:szCs w:val="21"/>
        </w:rPr>
        <w:t>、培养目标</w:t>
      </w:r>
    </w:p>
    <w:p w:rsidR="00DA45BE" w:rsidRPr="007935C9" w:rsidRDefault="007935C9" w:rsidP="00DA45BE">
      <w:pPr>
        <w:jc w:val="left"/>
        <w:rPr>
          <w:rFonts w:ascii="仿宋" w:eastAsia="仿宋" w:hAnsi="仿宋"/>
          <w:szCs w:val="21"/>
        </w:rPr>
      </w:pPr>
      <w:r w:rsidRPr="007935C9">
        <w:rPr>
          <w:rFonts w:ascii="仿宋" w:eastAsia="仿宋" w:hAnsi="仿宋" w:hint="eastAsia"/>
          <w:szCs w:val="21"/>
        </w:rPr>
        <w:t xml:space="preserve">　　</w:t>
      </w:r>
      <w:r w:rsidR="00DA45BE" w:rsidRPr="007935C9">
        <w:rPr>
          <w:rFonts w:ascii="仿宋" w:eastAsia="仿宋" w:hAnsi="仿宋" w:hint="eastAsia"/>
          <w:szCs w:val="21"/>
        </w:rPr>
        <w:t xml:space="preserve">　牢固树立爱校、爱国、爱中华民族的思想，具备坚持真理、献身科学的勇气和品质以及科学职业道德、敬业精神、团结合作精神。</w:t>
      </w:r>
    </w:p>
    <w:p w:rsidR="00DA45BE" w:rsidRPr="007935C9" w:rsidRDefault="00DA45BE" w:rsidP="00DA45BE">
      <w:pPr>
        <w:ind w:firstLineChars="200" w:firstLine="420"/>
        <w:jc w:val="left"/>
        <w:rPr>
          <w:rFonts w:ascii="仿宋" w:eastAsia="仿宋" w:hAnsi="仿宋"/>
          <w:szCs w:val="21"/>
        </w:rPr>
      </w:pPr>
      <w:r w:rsidRPr="007935C9">
        <w:rPr>
          <w:rFonts w:ascii="仿宋" w:eastAsia="仿宋" w:hAnsi="仿宋" w:hint="eastAsia"/>
          <w:szCs w:val="21"/>
        </w:rPr>
        <w:t>博士研究生不仅要掌握本学科</w:t>
      </w:r>
      <w:r>
        <w:rPr>
          <w:rFonts w:ascii="仿宋" w:eastAsia="仿宋" w:hAnsi="仿宋" w:hint="eastAsia"/>
          <w:szCs w:val="21"/>
        </w:rPr>
        <w:t>系统的</w:t>
      </w:r>
      <w:r w:rsidRPr="007935C9">
        <w:rPr>
          <w:rFonts w:ascii="仿宋" w:eastAsia="仿宋" w:hAnsi="仿宋" w:hint="eastAsia"/>
          <w:szCs w:val="21"/>
        </w:rPr>
        <w:t>理论</w:t>
      </w:r>
      <w:r>
        <w:rPr>
          <w:rFonts w:ascii="仿宋" w:eastAsia="仿宋" w:hAnsi="仿宋" w:hint="eastAsia"/>
          <w:szCs w:val="21"/>
        </w:rPr>
        <w:t>知识</w:t>
      </w:r>
      <w:r w:rsidRPr="007935C9">
        <w:rPr>
          <w:rFonts w:ascii="仿宋" w:eastAsia="仿宋" w:hAnsi="仿宋" w:hint="eastAsia"/>
          <w:szCs w:val="21"/>
        </w:rPr>
        <w:t>和</w:t>
      </w:r>
      <w:r>
        <w:rPr>
          <w:rFonts w:ascii="仿宋" w:eastAsia="仿宋" w:hAnsi="仿宋" w:hint="eastAsia"/>
          <w:szCs w:val="21"/>
        </w:rPr>
        <w:t>全面</w:t>
      </w:r>
      <w:r w:rsidRPr="007935C9">
        <w:rPr>
          <w:rFonts w:ascii="仿宋" w:eastAsia="仿宋" w:hAnsi="仿宋" w:hint="eastAsia"/>
          <w:szCs w:val="21"/>
        </w:rPr>
        <w:t>的专业实验</w:t>
      </w:r>
      <w:r>
        <w:rPr>
          <w:rFonts w:ascii="仿宋" w:eastAsia="仿宋" w:hAnsi="仿宋" w:hint="eastAsia"/>
          <w:szCs w:val="21"/>
        </w:rPr>
        <w:t>技能</w:t>
      </w:r>
      <w:r w:rsidRPr="007935C9">
        <w:rPr>
          <w:rFonts w:ascii="仿宋" w:eastAsia="仿宋" w:hAnsi="仿宋" w:hint="eastAsia"/>
          <w:szCs w:val="21"/>
        </w:rPr>
        <w:t>，还要掌握与本学科相邻及相关学科的知识，在独立从事科研工作中，具备综合、分析能力，在开展所从事研究方面的前沿研究工作中，具备创新和发展的能力。熟悉所从事研究方向的科学技术发展新动向。</w:t>
      </w:r>
    </w:p>
    <w:p w:rsidR="007935C9" w:rsidRPr="007935C9" w:rsidRDefault="00DA45BE" w:rsidP="00DA45BE">
      <w:pPr>
        <w:jc w:val="left"/>
        <w:rPr>
          <w:rFonts w:ascii="仿宋" w:eastAsia="仿宋" w:hAnsi="仿宋"/>
          <w:szCs w:val="21"/>
        </w:rPr>
      </w:pPr>
      <w:r w:rsidRPr="007935C9">
        <w:rPr>
          <w:rFonts w:ascii="仿宋" w:eastAsia="仿宋" w:hAnsi="仿宋" w:hint="eastAsia"/>
          <w:szCs w:val="21"/>
        </w:rPr>
        <w:t>掌握一至二门外语，能用英语熟练阅读专业书籍、文献，并能撰写并在国际会议上宣读科学论文。</w:t>
      </w:r>
    </w:p>
    <w:p w:rsidR="007935C9" w:rsidRPr="00096349" w:rsidRDefault="006C5CC5" w:rsidP="007935C9">
      <w:pPr>
        <w:jc w:val="left"/>
        <w:rPr>
          <w:rFonts w:ascii="仿宋" w:eastAsia="仿宋" w:hAnsi="仿宋"/>
          <w:b/>
          <w:szCs w:val="21"/>
        </w:rPr>
      </w:pPr>
      <w:r w:rsidRPr="00096349">
        <w:rPr>
          <w:rFonts w:ascii="仿宋" w:eastAsia="仿宋" w:hAnsi="仿宋" w:hint="eastAsia"/>
          <w:b/>
          <w:szCs w:val="21"/>
        </w:rPr>
        <w:t>三</w:t>
      </w:r>
      <w:r w:rsidR="007935C9" w:rsidRPr="00096349">
        <w:rPr>
          <w:rFonts w:ascii="仿宋" w:eastAsia="仿宋" w:hAnsi="仿宋"/>
          <w:b/>
          <w:szCs w:val="21"/>
        </w:rPr>
        <w:t>、</w:t>
      </w:r>
      <w:r w:rsidR="007935C9" w:rsidRPr="00096349">
        <w:rPr>
          <w:rFonts w:ascii="仿宋" w:eastAsia="仿宋" w:hAnsi="仿宋" w:hint="eastAsia"/>
          <w:b/>
          <w:szCs w:val="21"/>
        </w:rPr>
        <w:t>修业年限</w:t>
      </w:r>
    </w:p>
    <w:p w:rsidR="007935C9" w:rsidRDefault="00DA45BE" w:rsidP="007935C9">
      <w:pPr>
        <w:ind w:firstLineChars="200" w:firstLine="420"/>
        <w:rPr>
          <w:rFonts w:ascii="仿宋" w:eastAsia="仿宋" w:hAnsi="仿宋"/>
          <w:szCs w:val="21"/>
        </w:rPr>
      </w:pPr>
      <w:r>
        <w:rPr>
          <w:rFonts w:ascii="仿宋" w:eastAsia="仿宋" w:hAnsi="仿宋" w:hint="eastAsia"/>
          <w:szCs w:val="21"/>
        </w:rPr>
        <w:t>普通</w:t>
      </w:r>
      <w:r>
        <w:rPr>
          <w:rFonts w:ascii="仿宋" w:eastAsia="仿宋" w:hAnsi="仿宋"/>
          <w:szCs w:val="21"/>
        </w:rPr>
        <w:t>博士生基本</w:t>
      </w:r>
      <w:r>
        <w:rPr>
          <w:rFonts w:ascii="仿宋" w:eastAsia="仿宋" w:hAnsi="仿宋" w:hint="eastAsia"/>
          <w:szCs w:val="21"/>
        </w:rPr>
        <w:t>修业年限为</w:t>
      </w:r>
      <w:r>
        <w:rPr>
          <w:rFonts w:ascii="仿宋" w:eastAsia="仿宋" w:hAnsi="仿宋"/>
          <w:szCs w:val="21"/>
        </w:rPr>
        <w:t>四年，最长</w:t>
      </w:r>
      <w:r>
        <w:rPr>
          <w:rFonts w:ascii="仿宋" w:eastAsia="仿宋" w:hAnsi="仿宋" w:hint="eastAsia"/>
          <w:szCs w:val="21"/>
        </w:rPr>
        <w:t>修业年限为</w:t>
      </w:r>
      <w:r>
        <w:rPr>
          <w:rFonts w:ascii="仿宋" w:eastAsia="仿宋" w:hAnsi="仿宋"/>
          <w:szCs w:val="21"/>
        </w:rPr>
        <w:t>八年；</w:t>
      </w:r>
      <w:r>
        <w:rPr>
          <w:rFonts w:ascii="仿宋" w:eastAsia="仿宋" w:hAnsi="仿宋" w:hint="eastAsia"/>
          <w:szCs w:val="21"/>
        </w:rPr>
        <w:t>直博生</w:t>
      </w:r>
      <w:r>
        <w:rPr>
          <w:rFonts w:ascii="仿宋" w:eastAsia="仿宋" w:hAnsi="仿宋"/>
          <w:szCs w:val="21"/>
        </w:rPr>
        <w:t>基本</w:t>
      </w:r>
      <w:r>
        <w:rPr>
          <w:rFonts w:ascii="仿宋" w:eastAsia="仿宋" w:hAnsi="仿宋" w:hint="eastAsia"/>
          <w:szCs w:val="21"/>
        </w:rPr>
        <w:t>修业年限为</w:t>
      </w:r>
      <w:r>
        <w:rPr>
          <w:rFonts w:ascii="仿宋" w:eastAsia="仿宋" w:hAnsi="仿宋"/>
          <w:szCs w:val="21"/>
        </w:rPr>
        <w:t>五年，</w:t>
      </w:r>
      <w:r>
        <w:rPr>
          <w:rFonts w:ascii="仿宋" w:eastAsia="仿宋" w:hAnsi="仿宋"/>
          <w:szCs w:val="21"/>
        </w:rPr>
        <w:lastRenderedPageBreak/>
        <w:t>最长</w:t>
      </w:r>
      <w:r>
        <w:rPr>
          <w:rFonts w:ascii="仿宋" w:eastAsia="仿宋" w:hAnsi="仿宋" w:hint="eastAsia"/>
          <w:szCs w:val="21"/>
        </w:rPr>
        <w:t>修业年限为</w:t>
      </w:r>
      <w:r>
        <w:rPr>
          <w:rFonts w:ascii="仿宋" w:eastAsia="仿宋" w:hAnsi="仿宋"/>
          <w:szCs w:val="21"/>
        </w:rPr>
        <w:t>八年</w:t>
      </w:r>
      <w:r>
        <w:rPr>
          <w:rFonts w:ascii="仿宋" w:eastAsia="仿宋" w:hAnsi="仿宋" w:hint="eastAsia"/>
          <w:szCs w:val="21"/>
        </w:rPr>
        <w:t>。</w:t>
      </w:r>
    </w:p>
    <w:p w:rsidR="007935C9" w:rsidRPr="00096349" w:rsidRDefault="006C5CC5" w:rsidP="007935C9">
      <w:pPr>
        <w:jc w:val="left"/>
        <w:rPr>
          <w:rFonts w:ascii="仿宋" w:eastAsia="仿宋" w:hAnsi="仿宋"/>
          <w:b/>
          <w:szCs w:val="21"/>
        </w:rPr>
      </w:pPr>
      <w:r w:rsidRPr="00096349">
        <w:rPr>
          <w:rFonts w:ascii="仿宋" w:eastAsia="仿宋" w:hAnsi="仿宋" w:hint="eastAsia"/>
          <w:b/>
          <w:szCs w:val="21"/>
        </w:rPr>
        <w:t>四</w:t>
      </w:r>
      <w:r w:rsidR="007935C9" w:rsidRPr="00096349">
        <w:rPr>
          <w:rFonts w:ascii="仿宋" w:eastAsia="仿宋" w:hAnsi="仿宋"/>
          <w:b/>
          <w:szCs w:val="21"/>
        </w:rPr>
        <w:t>、培养方式</w:t>
      </w:r>
    </w:p>
    <w:p w:rsidR="00DA45BE" w:rsidRDefault="00DA45BE" w:rsidP="00DA45BE">
      <w:pPr>
        <w:spacing w:line="320" w:lineRule="exact"/>
        <w:ind w:firstLine="420"/>
        <w:rPr>
          <w:rFonts w:ascii="仿宋" w:eastAsia="仿宋" w:hAnsi="仿宋"/>
          <w:szCs w:val="21"/>
        </w:rPr>
      </w:pPr>
      <w:r w:rsidRPr="00EF1EB1">
        <w:rPr>
          <w:rFonts w:ascii="仿宋" w:eastAsia="仿宋" w:hAnsi="仿宋" w:hint="eastAsia"/>
          <w:szCs w:val="21"/>
        </w:rPr>
        <w:t>着力塑造以“立德树人第一责任人”为核心的博士生导师教育文化观，强化博士生导师立德树人的责任感和使命感，引导博士生导师做好博士生求知的指导者、学术的引路人和品德的垂范者。</w:t>
      </w:r>
      <w:r>
        <w:rPr>
          <w:rFonts w:ascii="仿宋" w:eastAsia="仿宋" w:hAnsi="仿宋" w:hint="eastAsia"/>
          <w:szCs w:val="21"/>
        </w:rPr>
        <w:t>导师根据培养方案，结合研究生个人情况，确定每位研究生的培养目标，制定个性化培养计划，包括课程学习、研究方向和科研训练等。</w:t>
      </w:r>
    </w:p>
    <w:p w:rsidR="00E9371C" w:rsidRDefault="00DA45BE" w:rsidP="00DA45BE">
      <w:pPr>
        <w:spacing w:line="320" w:lineRule="exact"/>
        <w:ind w:firstLine="420"/>
        <w:rPr>
          <w:rFonts w:ascii="仿宋" w:eastAsia="仿宋" w:hAnsi="仿宋"/>
          <w:szCs w:val="21"/>
        </w:rPr>
      </w:pPr>
      <w:r w:rsidRPr="00E9371C">
        <w:rPr>
          <w:rFonts w:ascii="仿宋" w:eastAsia="仿宋" w:hAnsi="仿宋" w:hint="eastAsia"/>
          <w:szCs w:val="21"/>
        </w:rPr>
        <w:t>博士研究生入学的第一学期应完成大部分公共课和专业课的学习，并在导师的指导下着手准备毕业论文的选题和开题报告，应不迟于第三学期初进行博士生资格考核，经博士生指导小组评议通过后进入学位论文</w:t>
      </w:r>
      <w:r>
        <w:rPr>
          <w:rFonts w:ascii="仿宋" w:eastAsia="仿宋" w:hAnsi="仿宋" w:hint="eastAsia"/>
          <w:szCs w:val="21"/>
        </w:rPr>
        <w:t>工作</w:t>
      </w:r>
      <w:r w:rsidRPr="00E9371C">
        <w:rPr>
          <w:rFonts w:ascii="仿宋" w:eastAsia="仿宋" w:hAnsi="仿宋" w:hint="eastAsia"/>
          <w:szCs w:val="21"/>
        </w:rPr>
        <w:t>的实施阶段。</w:t>
      </w:r>
    </w:p>
    <w:p w:rsidR="007935C9" w:rsidRPr="00096349" w:rsidRDefault="00680444" w:rsidP="007935C9">
      <w:pPr>
        <w:jc w:val="left"/>
        <w:rPr>
          <w:rFonts w:ascii="仿宋" w:eastAsia="仿宋" w:hAnsi="仿宋"/>
          <w:b/>
          <w:szCs w:val="21"/>
        </w:rPr>
      </w:pPr>
      <w:r w:rsidRPr="00096349">
        <w:rPr>
          <w:rFonts w:ascii="仿宋" w:eastAsia="仿宋" w:hAnsi="仿宋" w:hint="eastAsia"/>
          <w:b/>
          <w:szCs w:val="21"/>
        </w:rPr>
        <w:t>五</w:t>
      </w:r>
      <w:r w:rsidR="007935C9" w:rsidRPr="00096349">
        <w:rPr>
          <w:rFonts w:ascii="仿宋" w:eastAsia="仿宋" w:hAnsi="仿宋" w:hint="eastAsia"/>
          <w:b/>
          <w:szCs w:val="21"/>
        </w:rPr>
        <w:t>、</w:t>
      </w:r>
      <w:r w:rsidR="007935C9" w:rsidRPr="00096349">
        <w:rPr>
          <w:rFonts w:ascii="仿宋" w:eastAsia="仿宋" w:hAnsi="仿宋"/>
          <w:b/>
          <w:szCs w:val="21"/>
        </w:rPr>
        <w:t>课程设置</w:t>
      </w:r>
    </w:p>
    <w:p w:rsidR="007935C9" w:rsidRDefault="007935C9" w:rsidP="007935C9">
      <w:pPr>
        <w:spacing w:line="320" w:lineRule="exact"/>
        <w:ind w:firstLine="420"/>
        <w:rPr>
          <w:rFonts w:ascii="仿宋" w:eastAsia="仿宋" w:hAnsi="仿宋"/>
          <w:szCs w:val="21"/>
        </w:rPr>
      </w:pPr>
      <w:r w:rsidRPr="00EF1EB1">
        <w:rPr>
          <w:rFonts w:ascii="仿宋" w:eastAsia="仿宋" w:hAnsi="仿宋" w:hint="eastAsia"/>
          <w:szCs w:val="21"/>
        </w:rPr>
        <w:t>普通博士研究生需修读公共外语、政治理论等学位课程及</w:t>
      </w:r>
      <w:r w:rsidRPr="00EF1EB1">
        <w:rPr>
          <w:rFonts w:ascii="仿宋" w:eastAsia="仿宋" w:hAnsi="仿宋"/>
          <w:szCs w:val="21"/>
        </w:rPr>
        <w:t>2-4门专业学位课程</w:t>
      </w:r>
      <w:r w:rsidR="00680444">
        <w:rPr>
          <w:rFonts w:ascii="仿宋" w:eastAsia="仿宋" w:hAnsi="仿宋" w:hint="eastAsia"/>
          <w:szCs w:val="21"/>
        </w:rPr>
        <w:t>。</w:t>
      </w:r>
      <w:r>
        <w:rPr>
          <w:rFonts w:ascii="仿宋" w:eastAsia="仿宋" w:hAnsi="仿宋" w:hint="eastAsia"/>
          <w:szCs w:val="21"/>
        </w:rPr>
        <w:t>直博生需修读普通博士研究生所修课程、</w:t>
      </w:r>
      <w:r>
        <w:rPr>
          <w:rFonts w:ascii="仿宋" w:eastAsia="仿宋" w:hAnsi="仿宋"/>
          <w:szCs w:val="21"/>
        </w:rPr>
        <w:t>硕士</w:t>
      </w:r>
      <w:r>
        <w:rPr>
          <w:rFonts w:ascii="仿宋" w:eastAsia="仿宋" w:hAnsi="仿宋" w:hint="eastAsia"/>
          <w:szCs w:val="21"/>
        </w:rPr>
        <w:t>研究生</w:t>
      </w:r>
      <w:r>
        <w:rPr>
          <w:rFonts w:ascii="仿宋" w:eastAsia="仿宋" w:hAnsi="仿宋"/>
          <w:szCs w:val="21"/>
        </w:rPr>
        <w:t>政治理论课程</w:t>
      </w:r>
      <w:r>
        <w:rPr>
          <w:rFonts w:ascii="仿宋" w:eastAsia="仿宋" w:hAnsi="仿宋" w:hint="eastAsia"/>
          <w:szCs w:val="21"/>
        </w:rPr>
        <w:t>及不低于19个学分的硕士研究生B、C、D类课程，另可根据科研需要选修跨二级或一级学科硕士研究生课程。</w:t>
      </w:r>
    </w:p>
    <w:p w:rsidR="006F4277" w:rsidRPr="00A33473" w:rsidRDefault="00DA45BE" w:rsidP="006F4277">
      <w:r w:rsidRPr="00FC1E91">
        <w:rPr>
          <w:noProof/>
        </w:rPr>
        <w:drawing>
          <wp:inline distT="0" distB="0" distL="0" distR="0" wp14:anchorId="4F8D7EDE" wp14:editId="0248FAD2">
            <wp:extent cx="5274310" cy="5539105"/>
            <wp:effectExtent l="0" t="0" r="254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5539105"/>
                    </a:xfrm>
                    <a:prstGeom prst="rect">
                      <a:avLst/>
                    </a:prstGeom>
                    <a:noFill/>
                    <a:ln>
                      <a:noFill/>
                    </a:ln>
                  </pic:spPr>
                </pic:pic>
              </a:graphicData>
            </a:graphic>
          </wp:inline>
        </w:drawing>
      </w:r>
    </w:p>
    <w:p w:rsidR="00DA45BE" w:rsidRPr="00EC5A4B" w:rsidRDefault="00DA45BE" w:rsidP="00DA45BE">
      <w:pPr>
        <w:jc w:val="left"/>
        <w:rPr>
          <w:rFonts w:ascii="仿宋" w:eastAsia="仿宋" w:hAnsi="仿宋"/>
          <w:b/>
          <w:szCs w:val="21"/>
        </w:rPr>
      </w:pPr>
      <w:r w:rsidRPr="00EC5A4B">
        <w:rPr>
          <w:rFonts w:ascii="仿宋" w:eastAsia="仿宋" w:hAnsi="仿宋" w:hint="eastAsia"/>
          <w:b/>
          <w:szCs w:val="21"/>
        </w:rPr>
        <w:t>六、</w:t>
      </w:r>
      <w:r w:rsidRPr="00EC5A4B">
        <w:rPr>
          <w:rFonts w:ascii="仿宋" w:eastAsia="仿宋" w:hAnsi="仿宋"/>
          <w:b/>
          <w:szCs w:val="21"/>
        </w:rPr>
        <w:t>质量监控</w:t>
      </w:r>
      <w:r w:rsidRPr="00EC5A4B">
        <w:rPr>
          <w:rFonts w:ascii="仿宋" w:eastAsia="仿宋" w:hAnsi="仿宋" w:hint="eastAsia"/>
          <w:b/>
          <w:szCs w:val="21"/>
        </w:rPr>
        <w:t>与学业流程</w:t>
      </w:r>
    </w:p>
    <w:p w:rsidR="00DA45BE" w:rsidRDefault="00DA45BE" w:rsidP="00DA45BE">
      <w:pPr>
        <w:ind w:firstLine="420"/>
        <w:jc w:val="left"/>
        <w:rPr>
          <w:rFonts w:ascii="仿宋" w:eastAsia="仿宋" w:hAnsi="仿宋"/>
          <w:szCs w:val="21"/>
        </w:rPr>
      </w:pPr>
      <w:r w:rsidRPr="006F4277">
        <w:rPr>
          <w:rFonts w:ascii="仿宋" w:eastAsia="仿宋" w:hAnsi="仿宋" w:hint="eastAsia"/>
          <w:szCs w:val="21"/>
        </w:rPr>
        <w:t>博士研究生严格执行</w:t>
      </w:r>
      <w:r>
        <w:rPr>
          <w:rFonts w:ascii="仿宋" w:eastAsia="仿宋" w:hAnsi="仿宋" w:hint="eastAsia"/>
          <w:szCs w:val="21"/>
        </w:rPr>
        <w:t>“博士生资格考核”和“</w:t>
      </w:r>
      <w:r w:rsidRPr="006F4277">
        <w:rPr>
          <w:rFonts w:ascii="仿宋" w:eastAsia="仿宋" w:hAnsi="仿宋" w:hint="eastAsia"/>
          <w:szCs w:val="21"/>
        </w:rPr>
        <w:t>学位论文开题</w:t>
      </w:r>
      <w:r>
        <w:rPr>
          <w:rFonts w:ascii="仿宋" w:eastAsia="仿宋" w:hAnsi="仿宋" w:hint="eastAsia"/>
          <w:szCs w:val="21"/>
        </w:rPr>
        <w:t>”</w:t>
      </w:r>
      <w:r w:rsidRPr="006F4277">
        <w:rPr>
          <w:rFonts w:ascii="仿宋" w:eastAsia="仿宋" w:hAnsi="仿宋" w:hint="eastAsia"/>
          <w:szCs w:val="21"/>
        </w:rPr>
        <w:t>审核制度</w:t>
      </w:r>
      <w:r>
        <w:rPr>
          <w:rFonts w:ascii="仿宋" w:eastAsia="仿宋" w:hAnsi="仿宋" w:hint="eastAsia"/>
          <w:szCs w:val="21"/>
        </w:rPr>
        <w:t>。为保证学位论文质量，在申请正式论文答辩之前，须经过“博士生论文文本预审”。</w:t>
      </w:r>
    </w:p>
    <w:p w:rsidR="00DA45BE" w:rsidRPr="00EC5A4B" w:rsidRDefault="00DA45BE" w:rsidP="00DA45BE">
      <w:pPr>
        <w:spacing w:line="380" w:lineRule="exact"/>
        <w:rPr>
          <w:rFonts w:ascii="仿宋" w:eastAsia="仿宋" w:hAnsi="仿宋"/>
          <w:b/>
          <w:szCs w:val="21"/>
        </w:rPr>
      </w:pPr>
      <w:r w:rsidRPr="00EC5A4B">
        <w:rPr>
          <w:rFonts w:ascii="仿宋" w:eastAsia="仿宋" w:hAnsi="仿宋" w:hint="eastAsia"/>
          <w:b/>
          <w:szCs w:val="21"/>
        </w:rPr>
        <w:lastRenderedPageBreak/>
        <w:t>1、博士生资格考核</w:t>
      </w:r>
    </w:p>
    <w:p w:rsidR="00DA45BE" w:rsidRDefault="00DA45BE" w:rsidP="00DA45BE">
      <w:pPr>
        <w:spacing w:line="380" w:lineRule="exact"/>
        <w:ind w:firstLineChars="200" w:firstLine="420"/>
        <w:rPr>
          <w:rFonts w:ascii="仿宋" w:eastAsia="仿宋" w:hAnsi="仿宋"/>
          <w:szCs w:val="21"/>
        </w:rPr>
      </w:pPr>
      <w:r>
        <w:rPr>
          <w:rFonts w:ascii="仿宋" w:eastAsia="仿宋" w:hAnsi="仿宋" w:hint="eastAsia"/>
          <w:szCs w:val="21"/>
        </w:rPr>
        <w:t>“博士生资格考核”安排在博士二年级第一学期。按照研究生院的相关规定，“</w:t>
      </w:r>
      <w:r w:rsidRPr="004B22B8">
        <w:rPr>
          <w:rFonts w:ascii="仿宋" w:eastAsia="仿宋" w:hAnsi="仿宋" w:hint="eastAsia"/>
          <w:szCs w:val="21"/>
        </w:rPr>
        <w:t>博士资格考核</w:t>
      </w:r>
      <w:r>
        <w:rPr>
          <w:rFonts w:ascii="仿宋" w:eastAsia="仿宋" w:hAnsi="仿宋" w:hint="eastAsia"/>
          <w:szCs w:val="21"/>
        </w:rPr>
        <w:t>”</w:t>
      </w:r>
      <w:r w:rsidRPr="004B22B8">
        <w:rPr>
          <w:rFonts w:ascii="仿宋" w:eastAsia="仿宋" w:hAnsi="仿宋" w:hint="eastAsia"/>
          <w:szCs w:val="21"/>
        </w:rPr>
        <w:t>作有限时间（最多6年）内有限考核次数（最多3次）的规定。对于在院系考核方案规定的有限考核次数内未能通过博士资格考核者，将劝其终止博士学业；对于6年内未能通过博士资格考核者，学校将视之为自动终止学业，</w:t>
      </w:r>
      <w:r w:rsidR="003279C7" w:rsidRPr="003279C7">
        <w:rPr>
          <w:rFonts w:ascii="仿宋" w:eastAsia="仿宋" w:hAnsi="仿宋" w:hint="eastAsia"/>
          <w:szCs w:val="21"/>
        </w:rPr>
        <w:t>予以退学</w:t>
      </w:r>
      <w:r w:rsidRPr="004B22B8">
        <w:rPr>
          <w:rFonts w:ascii="仿宋" w:eastAsia="仿宋" w:hAnsi="仿宋" w:hint="eastAsia"/>
          <w:szCs w:val="21"/>
        </w:rPr>
        <w:t>作肄业处理。有关学籍终止问题，研究生院将报送学校学位评定委员会审定。</w:t>
      </w:r>
      <w:bookmarkStart w:id="0" w:name="_GoBack"/>
      <w:bookmarkEnd w:id="0"/>
    </w:p>
    <w:p w:rsidR="00DA45BE" w:rsidRPr="004B22B8" w:rsidRDefault="00DA45BE" w:rsidP="00DA45BE">
      <w:pPr>
        <w:spacing w:line="380" w:lineRule="exact"/>
        <w:ind w:firstLineChars="200" w:firstLine="420"/>
        <w:rPr>
          <w:rFonts w:ascii="仿宋" w:eastAsia="仿宋" w:hAnsi="仿宋"/>
          <w:szCs w:val="21"/>
        </w:rPr>
      </w:pPr>
      <w:r>
        <w:rPr>
          <w:rFonts w:ascii="仿宋" w:eastAsia="仿宋" w:hAnsi="仿宋" w:hint="eastAsia"/>
          <w:szCs w:val="21"/>
        </w:rPr>
        <w:t>“博士生资格考核”</w:t>
      </w:r>
      <w:r w:rsidRPr="004B22B8">
        <w:rPr>
          <w:rFonts w:ascii="仿宋" w:eastAsia="仿宋" w:hAnsi="仿宋" w:hint="eastAsia"/>
          <w:szCs w:val="21"/>
        </w:rPr>
        <w:t>结果分为优秀、通过、暂缓通过和劝退四类。每次考核优秀率不</w:t>
      </w:r>
    </w:p>
    <w:p w:rsidR="00DA45BE" w:rsidRPr="004B22B8" w:rsidRDefault="00DA45BE" w:rsidP="00DA45BE">
      <w:pPr>
        <w:spacing w:line="380" w:lineRule="exact"/>
        <w:rPr>
          <w:rFonts w:ascii="仿宋" w:eastAsia="仿宋" w:hAnsi="仿宋"/>
          <w:szCs w:val="21"/>
        </w:rPr>
      </w:pPr>
      <w:r w:rsidRPr="004B22B8">
        <w:rPr>
          <w:rFonts w:ascii="仿宋" w:eastAsia="仿宋" w:hAnsi="仿宋" w:hint="eastAsia"/>
          <w:szCs w:val="21"/>
        </w:rPr>
        <w:t>高于15%，暂缓通过率不低于15%（原则上），劝退不设比例。所有博士研究生必须参加本年级的第一次资格考核，如确因特殊原因无法参加的博士生作“暂缓通过”处理。</w:t>
      </w:r>
      <w:r w:rsidRPr="004B22B8">
        <w:rPr>
          <w:rFonts w:ascii="仿宋" w:eastAsia="仿宋" w:hAnsi="仿宋"/>
          <w:szCs w:val="21"/>
        </w:rPr>
        <w:t xml:space="preserve"> </w:t>
      </w:r>
    </w:p>
    <w:p w:rsidR="00DA45BE" w:rsidRPr="004B22B8" w:rsidRDefault="00DA45BE" w:rsidP="00DA45BE">
      <w:pPr>
        <w:ind w:firstLine="420"/>
        <w:jc w:val="left"/>
        <w:rPr>
          <w:rFonts w:ascii="仿宋" w:eastAsia="仿宋" w:hAnsi="仿宋"/>
          <w:szCs w:val="21"/>
        </w:rPr>
      </w:pPr>
      <w:r>
        <w:rPr>
          <w:rFonts w:ascii="仿宋" w:eastAsia="仿宋" w:hAnsi="仿宋" w:hint="eastAsia"/>
          <w:szCs w:val="21"/>
        </w:rPr>
        <w:t>“博士生资格考核”由学院统一组织，</w:t>
      </w:r>
      <w:r w:rsidRPr="004B22B8">
        <w:rPr>
          <w:rFonts w:ascii="仿宋" w:eastAsia="仿宋" w:hAnsi="仿宋" w:hint="eastAsia"/>
          <w:szCs w:val="21"/>
        </w:rPr>
        <w:t>主要考核博士生的文献阅读及学位论文的准备情况</w:t>
      </w:r>
      <w:r>
        <w:rPr>
          <w:rFonts w:ascii="仿宋" w:eastAsia="仿宋" w:hAnsi="仿宋" w:hint="eastAsia"/>
          <w:szCs w:val="21"/>
        </w:rPr>
        <w:t>。</w:t>
      </w:r>
    </w:p>
    <w:p w:rsidR="00DA45BE" w:rsidRPr="00EC5A4B" w:rsidRDefault="00DA45BE" w:rsidP="00DA45BE">
      <w:pPr>
        <w:rPr>
          <w:rFonts w:ascii="仿宋" w:eastAsia="仿宋" w:hAnsi="仿宋"/>
          <w:b/>
          <w:szCs w:val="21"/>
        </w:rPr>
      </w:pPr>
      <w:r w:rsidRPr="00EC5A4B">
        <w:rPr>
          <w:rFonts w:ascii="仿宋" w:eastAsia="仿宋" w:hAnsi="仿宋" w:hint="eastAsia"/>
          <w:b/>
          <w:szCs w:val="21"/>
        </w:rPr>
        <w:t>2、博士生论文开题</w:t>
      </w:r>
    </w:p>
    <w:p w:rsidR="00DA45BE" w:rsidRPr="006F4277" w:rsidRDefault="00DA45BE" w:rsidP="00DA45BE">
      <w:pPr>
        <w:ind w:firstLineChars="200" w:firstLine="420"/>
        <w:rPr>
          <w:rFonts w:ascii="仿宋" w:eastAsia="仿宋" w:hAnsi="仿宋"/>
          <w:szCs w:val="21"/>
        </w:rPr>
      </w:pPr>
      <w:r w:rsidRPr="006F4277">
        <w:rPr>
          <w:rFonts w:ascii="仿宋" w:eastAsia="仿宋" w:hAnsi="仿宋" w:hint="eastAsia"/>
          <w:szCs w:val="21"/>
        </w:rPr>
        <w:t>博士研究生严格执行学位论文开题审核制度，每名博士研究生必须通过“博士生资格考核”方能进行论文开题审核阶段。开题至少1年后，学生方可提交学位论文答辩申请。</w:t>
      </w:r>
    </w:p>
    <w:p w:rsidR="00DA45BE" w:rsidRPr="00C878DC" w:rsidRDefault="00DA45BE" w:rsidP="00DA45BE">
      <w:pPr>
        <w:ind w:firstLineChars="150" w:firstLine="315"/>
        <w:rPr>
          <w:rFonts w:ascii="仿宋" w:eastAsia="仿宋" w:hAnsi="仿宋"/>
          <w:szCs w:val="21"/>
        </w:rPr>
      </w:pPr>
      <w:r>
        <w:rPr>
          <w:rFonts w:ascii="仿宋" w:eastAsia="仿宋" w:hAnsi="仿宋" w:hint="eastAsia"/>
          <w:szCs w:val="21"/>
        </w:rPr>
        <w:t>（1）</w:t>
      </w:r>
      <w:r w:rsidRPr="00C878DC">
        <w:rPr>
          <w:rFonts w:ascii="仿宋" w:eastAsia="仿宋" w:hAnsi="仿宋" w:hint="eastAsia"/>
          <w:szCs w:val="21"/>
        </w:rPr>
        <w:t>开题报告组织：博士生的开题工作由各二级专业所在教研室负责，开题须提前公示；</w:t>
      </w:r>
    </w:p>
    <w:p w:rsidR="00DA45BE" w:rsidRPr="006F4277" w:rsidRDefault="00DA45BE" w:rsidP="00DA45BE">
      <w:pPr>
        <w:pStyle w:val="ac"/>
        <w:ind w:leftChars="50" w:left="105" w:firstLineChars="100" w:firstLine="210"/>
        <w:rPr>
          <w:rFonts w:ascii="仿宋" w:eastAsia="仿宋" w:hAnsi="仿宋" w:cs="Times New Roman"/>
          <w:szCs w:val="21"/>
        </w:rPr>
      </w:pPr>
      <w:r>
        <w:rPr>
          <w:rFonts w:ascii="仿宋" w:eastAsia="仿宋" w:hAnsi="仿宋" w:cs="Times New Roman" w:hint="eastAsia"/>
          <w:szCs w:val="21"/>
        </w:rPr>
        <w:t>（2）</w:t>
      </w:r>
      <w:r w:rsidRPr="006F4277">
        <w:rPr>
          <w:rFonts w:ascii="仿宋" w:eastAsia="仿宋" w:hAnsi="仿宋" w:cs="Times New Roman" w:hint="eastAsia"/>
          <w:szCs w:val="21"/>
        </w:rPr>
        <w:t>开题报告考核内容：主要考察博士生的论文选题、研究方案、研究基础、研究技能训练和研究能力等。</w:t>
      </w:r>
    </w:p>
    <w:p w:rsidR="00DA45BE" w:rsidRPr="00C878DC" w:rsidRDefault="00DA45BE" w:rsidP="00DA45BE">
      <w:pPr>
        <w:pStyle w:val="ac"/>
        <w:ind w:firstLineChars="135" w:firstLine="283"/>
        <w:rPr>
          <w:rFonts w:ascii="仿宋" w:eastAsia="仿宋" w:hAnsi="仿宋"/>
          <w:szCs w:val="21"/>
        </w:rPr>
      </w:pPr>
      <w:r>
        <w:rPr>
          <w:rFonts w:ascii="仿宋" w:eastAsia="仿宋" w:hAnsi="仿宋" w:cs="Times New Roman" w:hint="eastAsia"/>
          <w:szCs w:val="21"/>
        </w:rPr>
        <w:t>（3）</w:t>
      </w:r>
      <w:r w:rsidRPr="006F4277">
        <w:rPr>
          <w:rFonts w:ascii="仿宋" w:eastAsia="仿宋" w:hAnsi="仿宋" w:cs="Times New Roman" w:hint="eastAsia"/>
          <w:szCs w:val="21"/>
        </w:rPr>
        <w:t>考核办法：由各个专业根据学生人数，分成若干开题报告考核小组，考核小组至少由</w:t>
      </w:r>
      <w:r w:rsidRPr="00C878DC">
        <w:rPr>
          <w:rFonts w:ascii="仿宋" w:eastAsia="仿宋" w:hAnsi="仿宋" w:hint="eastAsia"/>
          <w:szCs w:val="21"/>
        </w:rPr>
        <w:t>5名教授或副教授组成。博士研究生必须充分阐述文献调研情况、选题依据、研究计划、研究方案、预期目标和成果等。考核小组依据博士研究生开题报告和答辩情况予以评价，给出“可以开题”或“修改后开题”的结论。对于“修改后开题”的博士生，三个月之后再进行一次开题，若通过，则可以进入论文阶段。</w:t>
      </w:r>
    </w:p>
    <w:p w:rsidR="00DA45BE" w:rsidRPr="00EC5A4B" w:rsidRDefault="00DA45BE" w:rsidP="00DA45BE">
      <w:pPr>
        <w:pStyle w:val="ac"/>
        <w:numPr>
          <w:ilvl w:val="0"/>
          <w:numId w:val="16"/>
        </w:numPr>
        <w:ind w:firstLineChars="0"/>
        <w:rPr>
          <w:rFonts w:ascii="仿宋" w:eastAsia="仿宋" w:hAnsi="仿宋"/>
          <w:b/>
          <w:szCs w:val="21"/>
        </w:rPr>
      </w:pPr>
      <w:r w:rsidRPr="00EC5A4B">
        <w:rPr>
          <w:rFonts w:ascii="仿宋" w:eastAsia="仿宋" w:hAnsi="仿宋" w:hint="eastAsia"/>
          <w:b/>
          <w:szCs w:val="21"/>
        </w:rPr>
        <w:t>博士生论文文本预审</w:t>
      </w:r>
    </w:p>
    <w:p w:rsidR="00DA45BE" w:rsidRPr="00C878DC" w:rsidRDefault="00DA45BE" w:rsidP="00DA45BE">
      <w:pPr>
        <w:pStyle w:val="ac"/>
        <w:ind w:firstLineChars="100" w:firstLine="210"/>
        <w:rPr>
          <w:rFonts w:ascii="仿宋" w:eastAsia="仿宋" w:hAnsi="仿宋"/>
          <w:szCs w:val="21"/>
        </w:rPr>
      </w:pPr>
      <w:r>
        <w:rPr>
          <w:rFonts w:ascii="仿宋" w:eastAsia="仿宋" w:hAnsi="仿宋" w:hint="eastAsia"/>
          <w:szCs w:val="21"/>
        </w:rPr>
        <w:t>（1）</w:t>
      </w:r>
      <w:r w:rsidRPr="00C878DC">
        <w:rPr>
          <w:rFonts w:ascii="仿宋" w:eastAsia="仿宋" w:hAnsi="仿宋" w:hint="eastAsia"/>
          <w:szCs w:val="21"/>
        </w:rPr>
        <w:t>文本预审由学院组织。每年四次，在提交博士论文答辩申请2周前，学院组织开展学位论文文本集中预审核。</w:t>
      </w:r>
    </w:p>
    <w:p w:rsidR="00DA45BE" w:rsidRPr="00C878DC" w:rsidRDefault="00DA45BE" w:rsidP="00DA45BE">
      <w:pPr>
        <w:ind w:firstLineChars="100" w:firstLine="210"/>
        <w:rPr>
          <w:rFonts w:ascii="仿宋" w:eastAsia="仿宋" w:hAnsi="仿宋"/>
          <w:szCs w:val="21"/>
        </w:rPr>
      </w:pPr>
      <w:r>
        <w:rPr>
          <w:rFonts w:ascii="仿宋" w:eastAsia="仿宋" w:hAnsi="仿宋" w:hint="eastAsia"/>
          <w:szCs w:val="21"/>
        </w:rPr>
        <w:t>（2）</w:t>
      </w:r>
      <w:r w:rsidRPr="00C878DC">
        <w:rPr>
          <w:rFonts w:ascii="仿宋" w:eastAsia="仿宋" w:hAnsi="仿宋" w:hint="eastAsia"/>
          <w:szCs w:val="21"/>
        </w:rPr>
        <w:t>论文需经导师认真审查和修改，最终签字同意后，再提交进入学院预审环节。</w:t>
      </w:r>
    </w:p>
    <w:p w:rsidR="00DA45BE" w:rsidRPr="00C878DC" w:rsidRDefault="00DA45BE" w:rsidP="00DA45BE">
      <w:pPr>
        <w:ind w:firstLineChars="100" w:firstLine="210"/>
        <w:rPr>
          <w:rFonts w:ascii="仿宋" w:eastAsia="仿宋" w:hAnsi="仿宋"/>
          <w:szCs w:val="21"/>
        </w:rPr>
      </w:pPr>
      <w:r>
        <w:rPr>
          <w:rFonts w:ascii="仿宋" w:eastAsia="仿宋" w:hAnsi="仿宋" w:hint="eastAsia"/>
          <w:szCs w:val="21"/>
        </w:rPr>
        <w:t>（3）</w:t>
      </w:r>
      <w:r w:rsidRPr="00C878DC">
        <w:rPr>
          <w:rFonts w:ascii="仿宋" w:eastAsia="仿宋" w:hAnsi="仿宋" w:hint="eastAsia"/>
          <w:szCs w:val="21"/>
        </w:rPr>
        <w:t xml:space="preserve">评审专家组由3位及以上教授、博导组成。预审通过的博士学位论文方可申请论文答辩。如论文预审不通过，学生须在导师的指导下根据预审意见认真回复和修改论文文本，经评审专家复审合格后论文可进入下一个环节。                                                                       </w:t>
      </w:r>
    </w:p>
    <w:p w:rsidR="00DA45BE" w:rsidRPr="00C878DC" w:rsidRDefault="00DA45BE" w:rsidP="00DA45BE">
      <w:pPr>
        <w:ind w:firstLineChars="100" w:firstLine="210"/>
        <w:rPr>
          <w:rFonts w:ascii="仿宋" w:eastAsia="仿宋" w:hAnsi="仿宋"/>
          <w:szCs w:val="21"/>
        </w:rPr>
      </w:pPr>
      <w:r>
        <w:rPr>
          <w:rFonts w:ascii="仿宋" w:eastAsia="仿宋" w:hAnsi="仿宋" w:hint="eastAsia"/>
          <w:szCs w:val="21"/>
        </w:rPr>
        <w:t>（4）论文</w:t>
      </w:r>
      <w:r w:rsidRPr="00C878DC">
        <w:rPr>
          <w:rFonts w:ascii="仿宋" w:eastAsia="仿宋" w:hAnsi="仿宋" w:hint="eastAsia"/>
          <w:szCs w:val="21"/>
        </w:rPr>
        <w:t xml:space="preserve">查重：导师、学院充分利用“学位论文学术不端行为检测系统”，对研究生毕业论文进行自检自查。所有研究生提交的论文须进行论文查重工作，在保证论文格式的基础上，重复率须按要求&lt;3%，并将查重结果报告作为学位申请材料的一部分提交学院。导师是论文的查重和学术质量把关的第一责任人。        </w:t>
      </w:r>
    </w:p>
    <w:p w:rsidR="00DA45BE" w:rsidRPr="00EC5A4B" w:rsidRDefault="00DA45BE" w:rsidP="00DA45BE">
      <w:pPr>
        <w:pStyle w:val="ac"/>
        <w:numPr>
          <w:ilvl w:val="0"/>
          <w:numId w:val="16"/>
        </w:numPr>
        <w:ind w:firstLineChars="0"/>
        <w:rPr>
          <w:rFonts w:ascii="仿宋" w:eastAsia="仿宋" w:hAnsi="仿宋"/>
          <w:b/>
          <w:szCs w:val="21"/>
        </w:rPr>
      </w:pPr>
      <w:r w:rsidRPr="00EC5A4B">
        <w:rPr>
          <w:rFonts w:ascii="仿宋" w:eastAsia="仿宋" w:hAnsi="仿宋" w:hint="eastAsia"/>
          <w:b/>
          <w:szCs w:val="21"/>
        </w:rPr>
        <w:t>博士生论文预答辩</w:t>
      </w:r>
    </w:p>
    <w:p w:rsidR="00DA45BE" w:rsidRPr="00C878DC" w:rsidRDefault="00DA45BE" w:rsidP="00DA45BE">
      <w:pPr>
        <w:pStyle w:val="ac"/>
        <w:rPr>
          <w:rFonts w:ascii="仿宋" w:eastAsia="仿宋" w:hAnsi="仿宋"/>
          <w:szCs w:val="21"/>
        </w:rPr>
      </w:pPr>
      <w:r>
        <w:rPr>
          <w:rFonts w:ascii="仿宋" w:eastAsia="仿宋" w:hAnsi="仿宋" w:hint="eastAsia"/>
          <w:szCs w:val="21"/>
        </w:rPr>
        <w:t>博士生论文</w:t>
      </w:r>
      <w:r w:rsidRPr="00C878DC">
        <w:rPr>
          <w:rFonts w:ascii="仿宋" w:eastAsia="仿宋" w:hAnsi="仿宋" w:hint="eastAsia"/>
          <w:szCs w:val="21"/>
        </w:rPr>
        <w:t>预答辩由导师组织。除导师外，学位论文预答辩至少有3位专家参加，且预答辩专家中至少有1人为院学位评定分委员会的委员或所在学科带头人或教研室主任；</w:t>
      </w:r>
    </w:p>
    <w:p w:rsidR="00DA45BE" w:rsidRPr="003A3BE3" w:rsidRDefault="00DA45BE" w:rsidP="00DA45BE">
      <w:pPr>
        <w:ind w:firstLineChars="100" w:firstLine="210"/>
        <w:rPr>
          <w:rFonts w:ascii="仿宋" w:eastAsia="仿宋" w:hAnsi="仿宋"/>
          <w:szCs w:val="21"/>
        </w:rPr>
      </w:pPr>
      <w:r>
        <w:rPr>
          <w:rFonts w:ascii="仿宋" w:eastAsia="仿宋" w:hAnsi="仿宋" w:hint="eastAsia"/>
          <w:szCs w:val="21"/>
        </w:rPr>
        <w:t>（1）</w:t>
      </w:r>
      <w:r w:rsidRPr="003A3BE3">
        <w:rPr>
          <w:rFonts w:ascii="仿宋" w:eastAsia="仿宋" w:hAnsi="仿宋" w:hint="eastAsia"/>
          <w:szCs w:val="21"/>
        </w:rPr>
        <w:t>预答辩安排在学生正式论文答辩的1</w:t>
      </w:r>
      <w:r w:rsidRPr="003A3BE3">
        <w:rPr>
          <w:rFonts w:ascii="仿宋" w:eastAsia="仿宋" w:hAnsi="仿宋"/>
          <w:szCs w:val="21"/>
        </w:rPr>
        <w:t>5</w:t>
      </w:r>
      <w:r w:rsidRPr="003A3BE3">
        <w:rPr>
          <w:rFonts w:ascii="仿宋" w:eastAsia="仿宋" w:hAnsi="仿宋" w:hint="eastAsia"/>
          <w:szCs w:val="21"/>
        </w:rPr>
        <w:t>天之前；</w:t>
      </w:r>
    </w:p>
    <w:p w:rsidR="00DA45BE" w:rsidRPr="003A3BE3" w:rsidRDefault="00DA45BE" w:rsidP="00DA45BE">
      <w:pPr>
        <w:pStyle w:val="ac"/>
        <w:ind w:left="210" w:firstLineChars="0" w:firstLine="0"/>
        <w:rPr>
          <w:rFonts w:ascii="仿宋" w:eastAsia="仿宋" w:hAnsi="仿宋"/>
          <w:szCs w:val="21"/>
        </w:rPr>
      </w:pPr>
      <w:r>
        <w:rPr>
          <w:rFonts w:ascii="仿宋" w:eastAsia="仿宋" w:hAnsi="仿宋" w:hint="eastAsia"/>
          <w:szCs w:val="21"/>
        </w:rPr>
        <w:t>（2）</w:t>
      </w:r>
      <w:r w:rsidRPr="003A3BE3">
        <w:rPr>
          <w:rFonts w:ascii="仿宋" w:eastAsia="仿宋" w:hAnsi="仿宋" w:hint="eastAsia"/>
          <w:szCs w:val="21"/>
        </w:rPr>
        <w:t>凭经导师签字的预答辩记录方可进入下一环节，领取博士论文答辩表决票。</w:t>
      </w:r>
    </w:p>
    <w:p w:rsidR="00DA45BE" w:rsidRPr="00EC5A4B" w:rsidRDefault="00DA45BE" w:rsidP="00DA45BE">
      <w:pPr>
        <w:rPr>
          <w:rFonts w:ascii="仿宋" w:eastAsia="仿宋" w:hAnsi="仿宋"/>
          <w:b/>
          <w:szCs w:val="21"/>
        </w:rPr>
      </w:pPr>
      <w:r w:rsidRPr="00EC5A4B">
        <w:rPr>
          <w:rFonts w:ascii="仿宋" w:eastAsia="仿宋" w:hAnsi="仿宋" w:hint="eastAsia"/>
          <w:b/>
          <w:szCs w:val="21"/>
        </w:rPr>
        <w:t>5、博士生论文送审</w:t>
      </w:r>
    </w:p>
    <w:p w:rsidR="00DA45BE" w:rsidRPr="006F4277" w:rsidRDefault="00DA45BE" w:rsidP="00DA45BE">
      <w:pPr>
        <w:ind w:firstLineChars="200" w:firstLine="420"/>
        <w:rPr>
          <w:rFonts w:ascii="仿宋" w:eastAsia="仿宋" w:hAnsi="仿宋"/>
          <w:szCs w:val="21"/>
        </w:rPr>
      </w:pPr>
      <w:r>
        <w:rPr>
          <w:rFonts w:ascii="仿宋" w:eastAsia="仿宋" w:hAnsi="仿宋" w:hint="eastAsia"/>
          <w:szCs w:val="21"/>
        </w:rPr>
        <w:t>博士生</w:t>
      </w:r>
      <w:r w:rsidRPr="006F4277">
        <w:rPr>
          <w:rFonts w:ascii="仿宋" w:eastAsia="仿宋" w:hAnsi="仿宋" w:hint="eastAsia"/>
          <w:szCs w:val="21"/>
        </w:rPr>
        <w:t>论文送审由导师、教研室、学院联合组织。</w:t>
      </w:r>
    </w:p>
    <w:p w:rsidR="00DA45BE" w:rsidRPr="00C878DC" w:rsidRDefault="00DA45BE" w:rsidP="00DA45BE">
      <w:pPr>
        <w:ind w:leftChars="-67" w:left="-141" w:firstLineChars="100" w:firstLine="210"/>
        <w:rPr>
          <w:rFonts w:ascii="仿宋" w:eastAsia="仿宋" w:hAnsi="仿宋"/>
          <w:szCs w:val="21"/>
        </w:rPr>
      </w:pPr>
      <w:r>
        <w:rPr>
          <w:rFonts w:ascii="仿宋" w:eastAsia="仿宋" w:hAnsi="仿宋" w:hint="eastAsia"/>
          <w:szCs w:val="21"/>
        </w:rPr>
        <w:t>（1）</w:t>
      </w:r>
      <w:r w:rsidRPr="00C878DC">
        <w:rPr>
          <w:rFonts w:ascii="仿宋" w:eastAsia="仿宋" w:hAnsi="仿宋" w:hint="eastAsia"/>
          <w:szCs w:val="21"/>
        </w:rPr>
        <w:t>对于被抽检盲审抽中的博士学位论文，按照南京大学学位论文抽检盲审的有关规定：《南京大学博士学位论文抽检盲审暂行办法》（南研发〔2019〕3号）、《关于博士学位论文盲</w:t>
      </w:r>
      <w:r w:rsidRPr="00C878DC">
        <w:rPr>
          <w:rFonts w:ascii="仿宋" w:eastAsia="仿宋" w:hAnsi="仿宋" w:hint="eastAsia"/>
          <w:szCs w:val="21"/>
        </w:rPr>
        <w:lastRenderedPageBreak/>
        <w:t>审和组织答辩工作的实施细则》（南研发〔2019〕4号）等执行。</w:t>
      </w:r>
    </w:p>
    <w:p w:rsidR="00DA45BE" w:rsidRPr="00544703" w:rsidRDefault="00DA45BE" w:rsidP="00DA45BE">
      <w:pPr>
        <w:ind w:firstLineChars="100" w:firstLine="210"/>
        <w:rPr>
          <w:rFonts w:ascii="仿宋" w:eastAsia="仿宋" w:hAnsi="仿宋"/>
          <w:szCs w:val="21"/>
        </w:rPr>
      </w:pPr>
      <w:r>
        <w:rPr>
          <w:rFonts w:ascii="仿宋" w:eastAsia="仿宋" w:hAnsi="仿宋" w:hint="eastAsia"/>
          <w:szCs w:val="21"/>
        </w:rPr>
        <w:t>（2）</w:t>
      </w:r>
      <w:r w:rsidRPr="00544703">
        <w:rPr>
          <w:rFonts w:ascii="仿宋" w:eastAsia="仿宋" w:hAnsi="仿宋" w:hint="eastAsia"/>
          <w:szCs w:val="21"/>
        </w:rPr>
        <w:t>对于未被抽检盲审抽中的博士学位论文，应由5名与论文内容相关学科的教授或相当专业技术职务的专家进行评阅，其中博士生导师至少3人、校外专家至少2人。送审前，导师提供评阅人的候选名单，并向学院提交《论文评阅人、答辩委员会委员送审表》，经导师本人、所在教研室主任、学院审定合理性并签字同意后，方可安排送出评阅。</w:t>
      </w:r>
    </w:p>
    <w:p w:rsidR="00DA45BE" w:rsidRPr="00544703" w:rsidRDefault="00DA45BE" w:rsidP="00DA45BE">
      <w:pPr>
        <w:ind w:firstLineChars="100" w:firstLine="210"/>
        <w:rPr>
          <w:rFonts w:ascii="仿宋" w:eastAsia="仿宋" w:hAnsi="仿宋"/>
          <w:szCs w:val="21"/>
        </w:rPr>
      </w:pPr>
      <w:r>
        <w:rPr>
          <w:rFonts w:ascii="仿宋" w:eastAsia="仿宋" w:hAnsi="仿宋" w:hint="eastAsia"/>
          <w:szCs w:val="21"/>
        </w:rPr>
        <w:t>（3）</w:t>
      </w:r>
      <w:r w:rsidRPr="00544703">
        <w:rPr>
          <w:rFonts w:ascii="仿宋" w:eastAsia="仿宋" w:hAnsi="仿宋" w:hint="eastAsia"/>
          <w:szCs w:val="21"/>
        </w:rPr>
        <w:t>所有学位论文的送审均由答辩秘书完成，不得由答辩研究生本人经手。</w:t>
      </w:r>
    </w:p>
    <w:p w:rsidR="00DA45BE" w:rsidRPr="00C878DC" w:rsidRDefault="00DA45BE" w:rsidP="00DA45BE">
      <w:pPr>
        <w:ind w:firstLineChars="100" w:firstLine="210"/>
        <w:rPr>
          <w:rFonts w:ascii="仿宋" w:eastAsia="仿宋" w:hAnsi="仿宋"/>
          <w:szCs w:val="21"/>
        </w:rPr>
      </w:pPr>
      <w:r>
        <w:rPr>
          <w:rFonts w:ascii="仿宋" w:eastAsia="仿宋" w:hAnsi="仿宋" w:hint="eastAsia"/>
          <w:szCs w:val="21"/>
        </w:rPr>
        <w:t>（4）</w:t>
      </w:r>
      <w:r w:rsidRPr="00C878DC">
        <w:rPr>
          <w:rFonts w:ascii="仿宋" w:eastAsia="仿宋" w:hAnsi="仿宋" w:hint="eastAsia"/>
          <w:szCs w:val="21"/>
        </w:rPr>
        <w:t>论文得到“同意进行答辩”的评阅意见后，</w:t>
      </w:r>
      <w:r>
        <w:rPr>
          <w:rFonts w:ascii="仿宋" w:eastAsia="仿宋" w:hAnsi="仿宋" w:hint="eastAsia"/>
          <w:szCs w:val="21"/>
        </w:rPr>
        <w:t>博士生</w:t>
      </w:r>
      <w:r w:rsidRPr="00C878DC">
        <w:rPr>
          <w:rFonts w:ascii="仿宋" w:eastAsia="仿宋" w:hAnsi="仿宋" w:hint="eastAsia"/>
          <w:szCs w:val="21"/>
        </w:rPr>
        <w:t>应认真结合评阅意见做出相应的修改。</w:t>
      </w:r>
    </w:p>
    <w:p w:rsidR="00DA45BE" w:rsidRPr="00C878DC" w:rsidRDefault="00DA45BE" w:rsidP="00DA45BE">
      <w:pPr>
        <w:ind w:firstLineChars="100" w:firstLine="210"/>
        <w:rPr>
          <w:rFonts w:ascii="仿宋" w:eastAsia="仿宋" w:hAnsi="仿宋"/>
          <w:szCs w:val="21"/>
        </w:rPr>
      </w:pPr>
      <w:r>
        <w:rPr>
          <w:rFonts w:ascii="仿宋" w:eastAsia="仿宋" w:hAnsi="仿宋" w:hint="eastAsia"/>
          <w:szCs w:val="21"/>
        </w:rPr>
        <w:t>（5）</w:t>
      </w:r>
      <w:r w:rsidRPr="00C878DC">
        <w:rPr>
          <w:rFonts w:ascii="仿宋" w:eastAsia="仿宋" w:hAnsi="仿宋" w:hint="eastAsia"/>
          <w:szCs w:val="21"/>
        </w:rPr>
        <w:t>若评阅意见为“不同意进行答辩”，</w:t>
      </w:r>
      <w:r>
        <w:rPr>
          <w:rFonts w:ascii="仿宋" w:eastAsia="仿宋" w:hAnsi="仿宋" w:hint="eastAsia"/>
          <w:szCs w:val="21"/>
        </w:rPr>
        <w:t>博士生</w:t>
      </w:r>
      <w:r w:rsidRPr="00C878DC">
        <w:rPr>
          <w:rFonts w:ascii="仿宋" w:eastAsia="仿宋" w:hAnsi="仿宋" w:hint="eastAsia"/>
          <w:szCs w:val="21"/>
        </w:rPr>
        <w:t>应与导师充分交流，由导师负责督导学生修改论文后再送审。专家评阅意见作为学位申请材料一部分提交学院审核。</w:t>
      </w:r>
    </w:p>
    <w:p w:rsidR="00DA45BE" w:rsidRPr="00EC5A4B" w:rsidRDefault="00DA45BE" w:rsidP="00DA45BE">
      <w:pPr>
        <w:rPr>
          <w:rFonts w:ascii="仿宋" w:eastAsia="仿宋" w:hAnsi="仿宋"/>
          <w:b/>
          <w:szCs w:val="21"/>
        </w:rPr>
      </w:pPr>
      <w:r w:rsidRPr="00EC5A4B">
        <w:rPr>
          <w:rFonts w:ascii="仿宋" w:eastAsia="仿宋" w:hAnsi="仿宋" w:hint="eastAsia"/>
          <w:b/>
          <w:szCs w:val="21"/>
        </w:rPr>
        <w:t>七、评价机制</w:t>
      </w:r>
    </w:p>
    <w:p w:rsidR="00DA45BE" w:rsidRPr="00544703" w:rsidRDefault="00DA45BE" w:rsidP="00DA45BE">
      <w:pPr>
        <w:ind w:firstLineChars="200" w:firstLine="420"/>
        <w:rPr>
          <w:rFonts w:ascii="仿宋" w:eastAsia="仿宋" w:hAnsi="仿宋"/>
          <w:szCs w:val="21"/>
        </w:rPr>
      </w:pPr>
      <w:r w:rsidRPr="00544703">
        <w:rPr>
          <w:rFonts w:ascii="仿宋" w:eastAsia="仿宋" w:hAnsi="仿宋" w:hint="eastAsia"/>
          <w:szCs w:val="21"/>
        </w:rPr>
        <w:t>对博士研究生学位论文的成果评价，电子科学与工程学院将充分发挥导师和学院学位分委员会对质量的把关作用，强化成果的同行评议，实现定量评价与定性评价相结合，重点评价博士学位论文的学术价值和社会影响，博士学位论文成果的评价及质量标准对标科学前沿和国家需求的多种成果表现形式。对于博士学位授予采取如下的质量分类评价标准：</w:t>
      </w:r>
    </w:p>
    <w:p w:rsidR="00DA45BE" w:rsidRPr="00EC5A4B" w:rsidRDefault="00DA45BE" w:rsidP="00DA45BE">
      <w:pPr>
        <w:rPr>
          <w:rFonts w:ascii="仿宋" w:eastAsia="仿宋" w:hAnsi="仿宋"/>
          <w:b/>
          <w:szCs w:val="21"/>
        </w:rPr>
      </w:pPr>
      <w:r w:rsidRPr="00EC5A4B">
        <w:rPr>
          <w:rFonts w:ascii="仿宋" w:eastAsia="仿宋" w:hAnsi="仿宋" w:hint="eastAsia"/>
          <w:b/>
          <w:szCs w:val="21"/>
        </w:rPr>
        <w:t>1、基础研究（对标科学前沿），同时满足以下条件：</w:t>
      </w:r>
    </w:p>
    <w:p w:rsidR="00DA45BE" w:rsidRPr="00544703" w:rsidRDefault="00DA45BE" w:rsidP="00DA45BE">
      <w:pPr>
        <w:ind w:firstLineChars="100" w:firstLine="210"/>
        <w:rPr>
          <w:rFonts w:ascii="仿宋" w:eastAsia="仿宋" w:hAnsi="仿宋"/>
          <w:szCs w:val="21"/>
        </w:rPr>
      </w:pPr>
      <w:r>
        <w:rPr>
          <w:rFonts w:ascii="仿宋" w:eastAsia="仿宋" w:hAnsi="仿宋" w:hint="eastAsia"/>
          <w:szCs w:val="21"/>
        </w:rPr>
        <w:t>（1）</w:t>
      </w:r>
      <w:r w:rsidRPr="00544703">
        <w:rPr>
          <w:rFonts w:ascii="仿宋" w:eastAsia="仿宋" w:hAnsi="仿宋" w:hint="eastAsia"/>
          <w:szCs w:val="21"/>
        </w:rPr>
        <w:t>鼓励发表高质量论文，包括发表在具有国际影响力的国内科技期刊、业界公认的国际顶级或重要科技期刊的论文，以及在国内外顶级学术会议上进行报告的论文（以下简称“三类高质量论文”）。学院学位分委员会负责制定所辖各学科的三类高质量论文的期刊、会议目录，并每两年进行修订和更新。博士研究生需以第一作者（南京大学为第一完成单位）的身份至少发表1篇与学位论文相关的高质量学术论文（以上述目录为准）；</w:t>
      </w:r>
    </w:p>
    <w:p w:rsidR="00DA45BE" w:rsidRPr="00544703" w:rsidRDefault="00DA45BE" w:rsidP="00DA45BE">
      <w:pPr>
        <w:ind w:firstLineChars="100" w:firstLine="210"/>
        <w:rPr>
          <w:rFonts w:ascii="仿宋" w:eastAsia="仿宋" w:hAnsi="仿宋"/>
          <w:szCs w:val="21"/>
        </w:rPr>
      </w:pPr>
      <w:r>
        <w:rPr>
          <w:rFonts w:ascii="仿宋" w:eastAsia="仿宋" w:hAnsi="仿宋" w:hint="eastAsia"/>
          <w:szCs w:val="21"/>
        </w:rPr>
        <w:t>（2）</w:t>
      </w:r>
      <w:r w:rsidRPr="00544703">
        <w:rPr>
          <w:rFonts w:ascii="仿宋" w:eastAsia="仿宋" w:hAnsi="仿宋" w:hint="eastAsia"/>
          <w:szCs w:val="21"/>
        </w:rPr>
        <w:t>完成学院学位分委员会认可的其他研究成果（至少一项），包括：第一作者发表的其他高水平论文、参加研究生创新大赛获得国家级奖励、与论文相关的授权发明专利（除本人指导老师外排名第一）等研究成果；</w:t>
      </w:r>
    </w:p>
    <w:p w:rsidR="00DA45BE" w:rsidRPr="00EC5A4B" w:rsidRDefault="00DA45BE" w:rsidP="00DA45BE">
      <w:pPr>
        <w:rPr>
          <w:rFonts w:ascii="仿宋" w:eastAsia="仿宋" w:hAnsi="仿宋"/>
          <w:b/>
          <w:szCs w:val="21"/>
        </w:rPr>
      </w:pPr>
      <w:r w:rsidRPr="00EC5A4B">
        <w:rPr>
          <w:rFonts w:ascii="仿宋" w:eastAsia="仿宋" w:hAnsi="仿宋" w:hint="eastAsia"/>
          <w:b/>
          <w:szCs w:val="21"/>
        </w:rPr>
        <w:t>2、应用研究（对标国家需求），同时满足以下条件：</w:t>
      </w:r>
    </w:p>
    <w:p w:rsidR="00DA45BE" w:rsidRPr="00544703" w:rsidRDefault="00DA45BE" w:rsidP="00DA45BE">
      <w:pPr>
        <w:ind w:firstLineChars="100" w:firstLine="210"/>
        <w:rPr>
          <w:rFonts w:ascii="仿宋" w:eastAsia="仿宋" w:hAnsi="仿宋"/>
          <w:szCs w:val="21"/>
        </w:rPr>
      </w:pPr>
      <w:r>
        <w:rPr>
          <w:rFonts w:ascii="仿宋" w:eastAsia="仿宋" w:hAnsi="仿宋" w:hint="eastAsia"/>
          <w:szCs w:val="21"/>
        </w:rPr>
        <w:t>（1）</w:t>
      </w:r>
      <w:r w:rsidRPr="00544703">
        <w:rPr>
          <w:rFonts w:ascii="仿宋" w:eastAsia="仿宋" w:hAnsi="仿宋" w:hint="eastAsia"/>
          <w:szCs w:val="21"/>
        </w:rPr>
        <w:t>须提前两年提出申请，并由学院学位分委员会审核批准；</w:t>
      </w:r>
    </w:p>
    <w:p w:rsidR="00DA45BE" w:rsidRPr="00544703" w:rsidRDefault="00DA45BE" w:rsidP="00DA45BE">
      <w:pPr>
        <w:ind w:firstLineChars="100" w:firstLine="210"/>
        <w:rPr>
          <w:rFonts w:ascii="仿宋" w:eastAsia="仿宋" w:hAnsi="仿宋"/>
          <w:szCs w:val="21"/>
        </w:rPr>
      </w:pPr>
      <w:r>
        <w:rPr>
          <w:rFonts w:ascii="仿宋" w:eastAsia="仿宋" w:hAnsi="仿宋" w:hint="eastAsia"/>
          <w:szCs w:val="21"/>
        </w:rPr>
        <w:t>（2）</w:t>
      </w:r>
      <w:r w:rsidRPr="00544703">
        <w:rPr>
          <w:rFonts w:ascii="仿宋" w:eastAsia="仿宋" w:hAnsi="仿宋" w:hint="eastAsia"/>
          <w:szCs w:val="21"/>
        </w:rPr>
        <w:t>作为主要完成人参加国家或国防工程研究项目、行业领军企业委托项目（项目单项到账经费在200万元以上），在完成国家需求方面做出实质性贡献，导师需提供详细佐证材料并经学院学位分委员会的认可；</w:t>
      </w:r>
    </w:p>
    <w:p w:rsidR="00DA45BE" w:rsidRPr="00544703" w:rsidRDefault="00DA45BE" w:rsidP="00DA45BE">
      <w:pPr>
        <w:ind w:firstLineChars="100" w:firstLine="210"/>
        <w:rPr>
          <w:rFonts w:ascii="仿宋" w:eastAsia="仿宋" w:hAnsi="仿宋"/>
          <w:szCs w:val="21"/>
        </w:rPr>
      </w:pPr>
      <w:r>
        <w:rPr>
          <w:rFonts w:ascii="仿宋" w:eastAsia="仿宋" w:hAnsi="仿宋" w:hint="eastAsia"/>
          <w:szCs w:val="21"/>
        </w:rPr>
        <w:t>（3）</w:t>
      </w:r>
      <w:r w:rsidRPr="00544703">
        <w:rPr>
          <w:rFonts w:ascii="仿宋" w:eastAsia="仿宋" w:hAnsi="仿宋" w:hint="eastAsia"/>
          <w:szCs w:val="21"/>
        </w:rPr>
        <w:t>完成学院学位分委员会认可的其他研究成果（至少一项），包括：第一作者发表高水平论文、与论文相关的授权发明专利（除本人指导老师外排名第一）、与论文相关的研究成果获得转让并为学校实现可观经济效益、完成通过鉴定的省部级以上的应用成果（在该项目申请书中除老师外排名前三）等。</w:t>
      </w:r>
    </w:p>
    <w:p w:rsidR="00DA45BE" w:rsidRDefault="00DA45BE" w:rsidP="00DA45BE">
      <w:pPr>
        <w:ind w:firstLineChars="100" w:firstLine="210"/>
        <w:rPr>
          <w:rFonts w:ascii="仿宋" w:eastAsia="仿宋" w:hAnsi="仿宋"/>
          <w:szCs w:val="21"/>
        </w:rPr>
      </w:pPr>
      <w:r w:rsidRPr="00544703">
        <w:rPr>
          <w:rFonts w:ascii="仿宋" w:eastAsia="仿宋" w:hAnsi="仿宋" w:hint="eastAsia"/>
          <w:szCs w:val="21"/>
        </w:rPr>
        <w:t>注：学院学位分委员会的认可以2/3出席委员不记名投票同意为准。</w:t>
      </w:r>
    </w:p>
    <w:p w:rsidR="00DA45BE" w:rsidRPr="00EC5A4B" w:rsidRDefault="00DA45BE" w:rsidP="00DA45BE">
      <w:pPr>
        <w:spacing w:line="320" w:lineRule="exact"/>
        <w:rPr>
          <w:rFonts w:ascii="仿宋" w:eastAsia="仿宋" w:hAnsi="仿宋"/>
          <w:b/>
          <w:szCs w:val="21"/>
        </w:rPr>
      </w:pPr>
      <w:r w:rsidRPr="00EC5A4B">
        <w:rPr>
          <w:rFonts w:ascii="仿宋" w:eastAsia="仿宋" w:hAnsi="仿宋" w:hint="eastAsia"/>
          <w:b/>
          <w:szCs w:val="21"/>
        </w:rPr>
        <w:t>八、博士</w:t>
      </w:r>
      <w:r>
        <w:rPr>
          <w:rFonts w:ascii="仿宋" w:eastAsia="仿宋" w:hAnsi="仿宋" w:hint="eastAsia"/>
          <w:b/>
          <w:szCs w:val="21"/>
        </w:rPr>
        <w:t>学位</w:t>
      </w:r>
      <w:r w:rsidRPr="00EC5A4B">
        <w:rPr>
          <w:rFonts w:ascii="仿宋" w:eastAsia="仿宋" w:hAnsi="仿宋" w:hint="eastAsia"/>
          <w:b/>
          <w:szCs w:val="21"/>
        </w:rPr>
        <w:t>论文答辩</w:t>
      </w:r>
    </w:p>
    <w:p w:rsidR="00DA45BE" w:rsidRPr="00702600" w:rsidRDefault="00DA45BE" w:rsidP="00DA45BE">
      <w:pPr>
        <w:ind w:firstLineChars="200" w:firstLine="420"/>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sidRPr="00702600">
        <w:rPr>
          <w:rFonts w:ascii="仿宋" w:eastAsia="仿宋" w:hAnsi="仿宋" w:hint="eastAsia"/>
          <w:szCs w:val="21"/>
        </w:rPr>
        <w:t>博士</w:t>
      </w:r>
      <w:r>
        <w:rPr>
          <w:rFonts w:ascii="仿宋" w:eastAsia="仿宋" w:hAnsi="仿宋" w:hint="eastAsia"/>
          <w:szCs w:val="21"/>
        </w:rPr>
        <w:t>学位</w:t>
      </w:r>
      <w:r w:rsidRPr="00702600">
        <w:rPr>
          <w:rFonts w:ascii="仿宋" w:eastAsia="仿宋" w:hAnsi="仿宋" w:hint="eastAsia"/>
          <w:szCs w:val="21"/>
        </w:rPr>
        <w:t>论文答辩由导师组织、院系审核。</w:t>
      </w:r>
      <w:r>
        <w:rPr>
          <w:rFonts w:ascii="仿宋" w:eastAsia="仿宋" w:hAnsi="仿宋" w:hint="eastAsia"/>
          <w:szCs w:val="21"/>
        </w:rPr>
        <w:t>具体要求如下：</w:t>
      </w:r>
    </w:p>
    <w:p w:rsidR="00DA45BE" w:rsidRPr="00702600" w:rsidRDefault="00DA45BE" w:rsidP="00DA45BE">
      <w:pPr>
        <w:ind w:firstLineChars="100" w:firstLine="210"/>
        <w:rPr>
          <w:rFonts w:ascii="仿宋" w:eastAsia="仿宋" w:hAnsi="仿宋"/>
          <w:szCs w:val="21"/>
        </w:rPr>
      </w:pPr>
      <w:r>
        <w:rPr>
          <w:rFonts w:ascii="仿宋" w:eastAsia="仿宋" w:hAnsi="仿宋" w:hint="eastAsia"/>
          <w:szCs w:val="21"/>
        </w:rPr>
        <w:t>（1）</w:t>
      </w:r>
      <w:r w:rsidRPr="00702600">
        <w:rPr>
          <w:rFonts w:ascii="仿宋" w:eastAsia="仿宋" w:hAnsi="仿宋" w:hint="eastAsia"/>
          <w:szCs w:val="21"/>
        </w:rPr>
        <w:t>在返回的评阅意见为“同意答辩”且“查重”通过的条件下，导师可负责组织实施研究生学位论文答辩。在申请论文评阅和答辩时，提交给学院审核的答辩委员会名单需经教研室先行审核，再经学院审核通过后，院研办登记备案后学生凭此表及导师签字的预答辩记录，方可领取论文答辩表决票。</w:t>
      </w:r>
    </w:p>
    <w:p w:rsidR="00DA45BE" w:rsidRDefault="00DA45BE" w:rsidP="00DA45BE">
      <w:pPr>
        <w:spacing w:line="320" w:lineRule="exact"/>
        <w:ind w:firstLineChars="100" w:firstLine="210"/>
        <w:rPr>
          <w:rFonts w:ascii="仿宋" w:eastAsia="仿宋" w:hAnsi="仿宋"/>
          <w:szCs w:val="21"/>
        </w:rPr>
      </w:pPr>
      <w:r>
        <w:rPr>
          <w:rFonts w:ascii="仿宋" w:eastAsia="仿宋" w:hAnsi="仿宋" w:hint="eastAsia"/>
          <w:szCs w:val="21"/>
        </w:rPr>
        <w:t>（2）</w:t>
      </w:r>
      <w:r w:rsidRPr="00702600">
        <w:rPr>
          <w:rFonts w:ascii="仿宋" w:eastAsia="仿宋" w:hAnsi="仿宋" w:hint="eastAsia"/>
          <w:szCs w:val="21"/>
        </w:rPr>
        <w:t>博士学位论文答辩委员会由教授或相当专业技术职务的专家5人组成，其中博士生导师至少有3人，校外专家至少有2人。导师不参加答辩委员会。博士学位论文答辩秘书应具有讲师以上技术职务或博士学位。所有答辩委员的聘请，由导师提交超过5人的推荐人选，院系学位评定分委员会从中确定名单。答辩后须形成规范的答辩决议。学生在答辩结束之后</w:t>
      </w:r>
      <w:r w:rsidRPr="00702600">
        <w:rPr>
          <w:rFonts w:ascii="仿宋" w:eastAsia="仿宋" w:hAnsi="仿宋" w:hint="eastAsia"/>
          <w:szCs w:val="21"/>
        </w:rPr>
        <w:lastRenderedPageBreak/>
        <w:t>再根据答辩意见对论文进行细致的修改。</w:t>
      </w:r>
    </w:p>
    <w:p w:rsidR="00DA45BE" w:rsidRDefault="00DA45BE" w:rsidP="00DA45BE">
      <w:pPr>
        <w:spacing w:line="320" w:lineRule="exact"/>
        <w:ind w:firstLineChars="200" w:firstLine="420"/>
        <w:rPr>
          <w:rFonts w:ascii="仿宋" w:eastAsia="仿宋" w:hAnsi="仿宋"/>
          <w:szCs w:val="21"/>
        </w:rPr>
      </w:pPr>
      <w:r w:rsidRPr="00D31B7B">
        <w:rPr>
          <w:rFonts w:ascii="仿宋" w:eastAsia="仿宋" w:hAnsi="仿宋" w:hint="eastAsia"/>
          <w:szCs w:val="21"/>
        </w:rPr>
        <w:t>答辩通过后，研究生按照学院规定的时间点，向院学位分委会提交学位申请材料，学院逐个仔细审核材料的真实性、完整性，汇总后召开院学位分委会。</w:t>
      </w:r>
      <w:r>
        <w:rPr>
          <w:rFonts w:ascii="仿宋" w:eastAsia="仿宋" w:hAnsi="仿宋" w:hint="eastAsia"/>
          <w:szCs w:val="21"/>
        </w:rPr>
        <w:t>院</w:t>
      </w:r>
      <w:r w:rsidRPr="00D31B7B">
        <w:rPr>
          <w:rFonts w:ascii="仿宋" w:eastAsia="仿宋" w:hAnsi="仿宋" w:hint="eastAsia"/>
          <w:szCs w:val="21"/>
        </w:rPr>
        <w:t>学位分委会对研究生的科研成果质量，及其与学位论文的相关性进行审核、讨论及表决。讨论后，学位分委会实行无记名投票，投票结果2/3以上同意，方可通过，并送交学校学位委员会讨论是否授予学位。对于表决结果不通过者，研究生本人及其导师应根据分委会讨论审核结果，对论文做相应修改后，可再次向院学位分委员会提交申请，重新表决。</w:t>
      </w:r>
    </w:p>
    <w:p w:rsidR="00DA45BE" w:rsidRPr="00EF1EB1" w:rsidRDefault="00DA45BE" w:rsidP="00DA45BE">
      <w:pPr>
        <w:spacing w:line="320" w:lineRule="exact"/>
        <w:ind w:firstLineChars="100" w:firstLine="210"/>
        <w:rPr>
          <w:rFonts w:ascii="仿宋" w:eastAsia="仿宋" w:hAnsi="仿宋"/>
          <w:szCs w:val="21"/>
        </w:rPr>
      </w:pPr>
    </w:p>
    <w:p w:rsidR="00DA45BE" w:rsidRPr="00114386" w:rsidRDefault="00DA45BE" w:rsidP="00DA45BE">
      <w:pPr>
        <w:jc w:val="left"/>
        <w:rPr>
          <w:rFonts w:ascii="仿宋" w:eastAsia="仿宋" w:hAnsi="仿宋"/>
          <w:b/>
          <w:szCs w:val="21"/>
        </w:rPr>
      </w:pPr>
      <w:r w:rsidRPr="00114386">
        <w:rPr>
          <w:rFonts w:ascii="仿宋" w:eastAsia="仿宋" w:hAnsi="仿宋" w:hint="eastAsia"/>
          <w:b/>
          <w:szCs w:val="21"/>
        </w:rPr>
        <w:t>九、硕博连读和直博</w:t>
      </w:r>
    </w:p>
    <w:p w:rsidR="00DA45BE" w:rsidRDefault="00DA45BE" w:rsidP="00DA45BE">
      <w:pPr>
        <w:spacing w:line="320" w:lineRule="exact"/>
        <w:ind w:firstLine="420"/>
        <w:rPr>
          <w:rFonts w:ascii="仿宋" w:eastAsia="仿宋" w:hAnsi="仿宋"/>
          <w:szCs w:val="21"/>
        </w:rPr>
      </w:pPr>
      <w:r>
        <w:rPr>
          <w:rFonts w:ascii="仿宋" w:eastAsia="仿宋" w:hAnsi="仿宋" w:hint="eastAsia"/>
          <w:szCs w:val="21"/>
        </w:rPr>
        <w:t>硕博连读和直博是选择优秀培养对象进行系统化贯通培养的方式，可缩短培养年限，提高培养质量，特别是提高博士学位论文的质量。</w:t>
      </w:r>
    </w:p>
    <w:p w:rsidR="00DA45BE" w:rsidRPr="000A3E16" w:rsidRDefault="00DA45BE" w:rsidP="00DA45BE">
      <w:pPr>
        <w:ind w:firstLineChars="200" w:firstLine="420"/>
        <w:rPr>
          <w:rFonts w:ascii="仿宋" w:eastAsia="仿宋" w:hAnsi="仿宋"/>
          <w:szCs w:val="21"/>
        </w:rPr>
      </w:pPr>
      <w:r w:rsidRPr="000A3E16">
        <w:rPr>
          <w:rFonts w:ascii="仿宋" w:eastAsia="仿宋" w:hAnsi="仿宋" w:hint="eastAsia"/>
          <w:szCs w:val="21"/>
        </w:rPr>
        <w:t>硕博连读研究生培养方案参照博士生的培养方案。</w:t>
      </w:r>
    </w:p>
    <w:p w:rsidR="00DA45BE" w:rsidRDefault="00DA45BE" w:rsidP="00DA45BE">
      <w:pPr>
        <w:ind w:firstLineChars="200" w:firstLine="420"/>
        <w:rPr>
          <w:rFonts w:ascii="仿宋" w:eastAsia="仿宋" w:hAnsi="仿宋"/>
          <w:szCs w:val="21"/>
        </w:rPr>
      </w:pPr>
      <w:r w:rsidRPr="000A3E16">
        <w:rPr>
          <w:rFonts w:ascii="仿宋" w:eastAsia="仿宋" w:hAnsi="仿宋" w:hint="eastAsia"/>
          <w:szCs w:val="21"/>
        </w:rPr>
        <w:t>直博生</w:t>
      </w:r>
      <w:r>
        <w:rPr>
          <w:rFonts w:ascii="仿宋" w:eastAsia="仿宋" w:hAnsi="仿宋" w:hint="eastAsia"/>
          <w:szCs w:val="21"/>
        </w:rPr>
        <w:t>在入学后，第一年主要完成相关研究生课程的学习，修满毕业所需的学分。第二年开始</w:t>
      </w:r>
      <w:r w:rsidRPr="0031020C">
        <w:rPr>
          <w:rFonts w:ascii="仿宋" w:eastAsia="仿宋" w:hAnsi="仿宋" w:hint="eastAsia"/>
          <w:szCs w:val="21"/>
        </w:rPr>
        <w:t>在导师的指导下</w:t>
      </w:r>
      <w:r>
        <w:rPr>
          <w:rFonts w:ascii="仿宋" w:eastAsia="仿宋" w:hAnsi="仿宋" w:hint="eastAsia"/>
          <w:szCs w:val="21"/>
        </w:rPr>
        <w:t>着手开展博士学位</w:t>
      </w:r>
      <w:r w:rsidRPr="0031020C">
        <w:rPr>
          <w:rFonts w:ascii="仿宋" w:eastAsia="仿宋" w:hAnsi="仿宋" w:hint="eastAsia"/>
          <w:szCs w:val="21"/>
        </w:rPr>
        <w:t>论文的选题和</w:t>
      </w:r>
      <w:r>
        <w:rPr>
          <w:rFonts w:ascii="仿宋" w:eastAsia="仿宋" w:hAnsi="仿宋" w:hint="eastAsia"/>
          <w:szCs w:val="21"/>
        </w:rPr>
        <w:t>相关准备</w:t>
      </w:r>
      <w:r w:rsidRPr="0031020C">
        <w:rPr>
          <w:rFonts w:ascii="仿宋" w:eastAsia="仿宋" w:hAnsi="仿宋" w:hint="eastAsia"/>
          <w:szCs w:val="21"/>
        </w:rPr>
        <w:t>，</w:t>
      </w:r>
      <w:r>
        <w:rPr>
          <w:rFonts w:ascii="仿宋" w:eastAsia="仿宋" w:hAnsi="仿宋" w:hint="eastAsia"/>
          <w:szCs w:val="21"/>
        </w:rPr>
        <w:t>第三年的第一学期进行“博士生资格考核”，其他要求参照博士生培养方案。</w:t>
      </w:r>
    </w:p>
    <w:p w:rsidR="00DA45BE" w:rsidRDefault="00DA45BE" w:rsidP="00DA45BE">
      <w:pPr>
        <w:ind w:firstLineChars="200" w:firstLine="420"/>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南京大学电子科学与工程学院</w:t>
      </w:r>
    </w:p>
    <w:p w:rsidR="00DA45BE" w:rsidRPr="000A3E16" w:rsidRDefault="00DA45BE" w:rsidP="00DA45BE">
      <w:pPr>
        <w:ind w:firstLineChars="200" w:firstLine="420"/>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2020年6月29日</w:t>
      </w:r>
    </w:p>
    <w:p w:rsidR="00E9371C" w:rsidRPr="00104C13" w:rsidRDefault="00E9371C" w:rsidP="00DA45BE">
      <w:pPr>
        <w:jc w:val="left"/>
        <w:rPr>
          <w:rFonts w:ascii="楷体" w:eastAsia="楷体" w:hAnsi="楷体"/>
          <w:sz w:val="24"/>
        </w:rPr>
      </w:pPr>
    </w:p>
    <w:sectPr w:rsidR="00E9371C" w:rsidRPr="00104C13" w:rsidSect="00836F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020" w:rsidRDefault="00A12020" w:rsidP="00DA6E18">
      <w:r>
        <w:separator/>
      </w:r>
    </w:p>
  </w:endnote>
  <w:endnote w:type="continuationSeparator" w:id="0">
    <w:p w:rsidR="00A12020" w:rsidRDefault="00A12020" w:rsidP="00DA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020" w:rsidRDefault="00A12020" w:rsidP="00DA6E18">
      <w:r>
        <w:separator/>
      </w:r>
    </w:p>
  </w:footnote>
  <w:footnote w:type="continuationSeparator" w:id="0">
    <w:p w:rsidR="00A12020" w:rsidRDefault="00A12020" w:rsidP="00DA6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239"/>
    <w:multiLevelType w:val="singleLevel"/>
    <w:tmpl w:val="0CC6738A"/>
    <w:lvl w:ilvl="0">
      <w:start w:val="1"/>
      <w:numFmt w:val="none"/>
      <w:lvlText w:val="一、"/>
      <w:lvlJc w:val="left"/>
      <w:pPr>
        <w:tabs>
          <w:tab w:val="num" w:pos="420"/>
        </w:tabs>
        <w:ind w:left="420" w:hanging="420"/>
      </w:pPr>
      <w:rPr>
        <w:rFonts w:hint="eastAsia"/>
      </w:rPr>
    </w:lvl>
  </w:abstractNum>
  <w:abstractNum w:abstractNumId="1" w15:restartNumberingAfterBreak="0">
    <w:nsid w:val="0B5C7AA6"/>
    <w:multiLevelType w:val="hybridMultilevel"/>
    <w:tmpl w:val="92A8DCD0"/>
    <w:lvl w:ilvl="0" w:tplc="055CFC8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F60E8A"/>
    <w:multiLevelType w:val="hybridMultilevel"/>
    <w:tmpl w:val="DC7E8F4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3A3B79"/>
    <w:multiLevelType w:val="hybridMultilevel"/>
    <w:tmpl w:val="F146AB0C"/>
    <w:lvl w:ilvl="0" w:tplc="8B407E0C">
      <w:start w:val="1"/>
      <w:numFmt w:val="upp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991287"/>
    <w:multiLevelType w:val="hybridMultilevel"/>
    <w:tmpl w:val="FB06AC34"/>
    <w:lvl w:ilvl="0" w:tplc="E1EA8CD6">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CD3B0A"/>
    <w:multiLevelType w:val="hybridMultilevel"/>
    <w:tmpl w:val="4C165526"/>
    <w:lvl w:ilvl="0" w:tplc="D73EF28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766B94"/>
    <w:multiLevelType w:val="hybridMultilevel"/>
    <w:tmpl w:val="9B4C2246"/>
    <w:lvl w:ilvl="0" w:tplc="E1EA8CD6">
      <w:start w:val="1"/>
      <w:numFmt w:val="decimal"/>
      <w:lvlText w:val="%1）"/>
      <w:lvlJc w:val="left"/>
      <w:pPr>
        <w:ind w:left="420" w:hanging="420"/>
      </w:pPr>
    </w:lvl>
    <w:lvl w:ilvl="1" w:tplc="E1EA8CD6">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33D11A55"/>
    <w:multiLevelType w:val="hybridMultilevel"/>
    <w:tmpl w:val="E648EDB6"/>
    <w:lvl w:ilvl="0" w:tplc="156890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1927A7"/>
    <w:multiLevelType w:val="hybridMultilevel"/>
    <w:tmpl w:val="38FA395C"/>
    <w:lvl w:ilvl="0" w:tplc="63FC5564">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15:restartNumberingAfterBreak="0">
    <w:nsid w:val="3CE14459"/>
    <w:multiLevelType w:val="hybridMultilevel"/>
    <w:tmpl w:val="BB3A40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837C9A"/>
    <w:multiLevelType w:val="singleLevel"/>
    <w:tmpl w:val="C478E96C"/>
    <w:lvl w:ilvl="0">
      <w:start w:val="1"/>
      <w:numFmt w:val="decimal"/>
      <w:lvlText w:val="%1、"/>
      <w:lvlJc w:val="left"/>
      <w:pPr>
        <w:tabs>
          <w:tab w:val="num" w:pos="360"/>
        </w:tabs>
        <w:ind w:left="360" w:hanging="360"/>
      </w:pPr>
      <w:rPr>
        <w:rFonts w:hint="eastAsia"/>
      </w:rPr>
    </w:lvl>
  </w:abstractNum>
  <w:abstractNum w:abstractNumId="11" w15:restartNumberingAfterBreak="0">
    <w:nsid w:val="48FF1D7F"/>
    <w:multiLevelType w:val="hybridMultilevel"/>
    <w:tmpl w:val="7C040A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594810"/>
    <w:multiLevelType w:val="hybridMultilevel"/>
    <w:tmpl w:val="D1AC48CA"/>
    <w:lvl w:ilvl="0" w:tplc="0409000F">
      <w:start w:val="1"/>
      <w:numFmt w:val="decimal"/>
      <w:lvlText w:val="%1."/>
      <w:lvlJc w:val="left"/>
      <w:pPr>
        <w:ind w:left="420" w:hanging="420"/>
      </w:pPr>
    </w:lvl>
    <w:lvl w:ilvl="1" w:tplc="F80A5C2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4266D3"/>
    <w:multiLevelType w:val="hybridMultilevel"/>
    <w:tmpl w:val="0DD60BF0"/>
    <w:lvl w:ilvl="0" w:tplc="0409000F">
      <w:start w:val="1"/>
      <w:numFmt w:val="decimal"/>
      <w:lvlText w:val="%1."/>
      <w:lvlJc w:val="left"/>
      <w:pPr>
        <w:ind w:left="420" w:hanging="420"/>
      </w:pPr>
    </w:lvl>
    <w:lvl w:ilvl="1" w:tplc="F80A5C2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F95373"/>
    <w:multiLevelType w:val="hybridMultilevel"/>
    <w:tmpl w:val="7368D0D6"/>
    <w:lvl w:ilvl="0" w:tplc="D4CE5BBA">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5" w15:restartNumberingAfterBreak="0">
    <w:nsid w:val="63A57B84"/>
    <w:multiLevelType w:val="hybridMultilevel"/>
    <w:tmpl w:val="44C6AFCC"/>
    <w:lvl w:ilvl="0" w:tplc="10D898AA">
      <w:start w:val="1"/>
      <w:numFmt w:val="decimal"/>
      <w:lvlText w:val="%1．"/>
      <w:lvlJc w:val="left"/>
      <w:pPr>
        <w:ind w:left="786"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6" w15:restartNumberingAfterBreak="0">
    <w:nsid w:val="6407394F"/>
    <w:multiLevelType w:val="hybridMultilevel"/>
    <w:tmpl w:val="60FE5CC8"/>
    <w:lvl w:ilvl="0" w:tplc="523ADFEE">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7" w15:restartNumberingAfterBreak="0">
    <w:nsid w:val="6D800970"/>
    <w:multiLevelType w:val="hybridMultilevel"/>
    <w:tmpl w:val="6786E76A"/>
    <w:lvl w:ilvl="0" w:tplc="D696B784">
      <w:start w:val="1"/>
      <w:numFmt w:val="japaneseCounting"/>
      <w:lvlText w:val="%1、"/>
      <w:lvlJc w:val="left"/>
      <w:pPr>
        <w:ind w:left="720" w:hanging="720"/>
      </w:pPr>
      <w:rPr>
        <w:rFonts w:hint="default"/>
      </w:rPr>
    </w:lvl>
    <w:lvl w:ilvl="1" w:tplc="7842FE0E">
      <w:start w:val="2"/>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F81959"/>
    <w:multiLevelType w:val="hybridMultilevel"/>
    <w:tmpl w:val="900E062E"/>
    <w:lvl w:ilvl="0" w:tplc="6A22F29A">
      <w:start w:val="1"/>
      <w:numFmt w:val="japaneseCounting"/>
      <w:lvlText w:val="%1、"/>
      <w:lvlJc w:val="left"/>
      <w:pPr>
        <w:ind w:left="420" w:hanging="420"/>
      </w:pPr>
      <w:rPr>
        <w:rFonts w:hint="default"/>
      </w:rPr>
    </w:lvl>
    <w:lvl w:ilvl="1" w:tplc="04090019" w:tentative="1">
      <w:start w:val="1"/>
      <w:numFmt w:val="lowerLetter"/>
      <w:lvlText w:val="%2)"/>
      <w:lvlJc w:val="left"/>
      <w:pPr>
        <w:ind w:left="698" w:hanging="420"/>
      </w:pPr>
    </w:lvl>
    <w:lvl w:ilvl="2" w:tplc="0409001B" w:tentative="1">
      <w:start w:val="1"/>
      <w:numFmt w:val="lowerRoman"/>
      <w:lvlText w:val="%3."/>
      <w:lvlJc w:val="right"/>
      <w:pPr>
        <w:ind w:left="1118" w:hanging="420"/>
      </w:pPr>
    </w:lvl>
    <w:lvl w:ilvl="3" w:tplc="0409000F" w:tentative="1">
      <w:start w:val="1"/>
      <w:numFmt w:val="decimal"/>
      <w:lvlText w:val="%4."/>
      <w:lvlJc w:val="left"/>
      <w:pPr>
        <w:ind w:left="1538" w:hanging="420"/>
      </w:pPr>
    </w:lvl>
    <w:lvl w:ilvl="4" w:tplc="04090019" w:tentative="1">
      <w:start w:val="1"/>
      <w:numFmt w:val="lowerLetter"/>
      <w:lvlText w:val="%5)"/>
      <w:lvlJc w:val="left"/>
      <w:pPr>
        <w:ind w:left="1958" w:hanging="420"/>
      </w:pPr>
    </w:lvl>
    <w:lvl w:ilvl="5" w:tplc="0409001B" w:tentative="1">
      <w:start w:val="1"/>
      <w:numFmt w:val="lowerRoman"/>
      <w:lvlText w:val="%6."/>
      <w:lvlJc w:val="right"/>
      <w:pPr>
        <w:ind w:left="2378" w:hanging="420"/>
      </w:pPr>
    </w:lvl>
    <w:lvl w:ilvl="6" w:tplc="0409000F" w:tentative="1">
      <w:start w:val="1"/>
      <w:numFmt w:val="decimal"/>
      <w:lvlText w:val="%7."/>
      <w:lvlJc w:val="left"/>
      <w:pPr>
        <w:ind w:left="2798" w:hanging="420"/>
      </w:pPr>
    </w:lvl>
    <w:lvl w:ilvl="7" w:tplc="04090019" w:tentative="1">
      <w:start w:val="1"/>
      <w:numFmt w:val="lowerLetter"/>
      <w:lvlText w:val="%8)"/>
      <w:lvlJc w:val="left"/>
      <w:pPr>
        <w:ind w:left="3218" w:hanging="420"/>
      </w:pPr>
    </w:lvl>
    <w:lvl w:ilvl="8" w:tplc="0409001B" w:tentative="1">
      <w:start w:val="1"/>
      <w:numFmt w:val="lowerRoman"/>
      <w:lvlText w:val="%9."/>
      <w:lvlJc w:val="right"/>
      <w:pPr>
        <w:ind w:left="3638" w:hanging="420"/>
      </w:pPr>
    </w:lvl>
  </w:abstractNum>
  <w:abstractNum w:abstractNumId="19" w15:restartNumberingAfterBreak="0">
    <w:nsid w:val="77EF6B5B"/>
    <w:multiLevelType w:val="hybridMultilevel"/>
    <w:tmpl w:val="BFF8210E"/>
    <w:lvl w:ilvl="0" w:tplc="AD9855F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93405CB"/>
    <w:multiLevelType w:val="hybridMultilevel"/>
    <w:tmpl w:val="50960EEE"/>
    <w:lvl w:ilvl="0" w:tplc="2DB4A6D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634395"/>
    <w:multiLevelType w:val="hybridMultilevel"/>
    <w:tmpl w:val="7BCE0728"/>
    <w:lvl w:ilvl="0" w:tplc="94367380">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 w:numId="2">
    <w:abstractNumId w:val="10"/>
  </w:num>
  <w:num w:numId="3">
    <w:abstractNumId w:val="15"/>
  </w:num>
  <w:num w:numId="4">
    <w:abstractNumId w:val="12"/>
  </w:num>
  <w:num w:numId="5">
    <w:abstractNumId w:val="2"/>
  </w:num>
  <w:num w:numId="6">
    <w:abstractNumId w:val="9"/>
  </w:num>
  <w:num w:numId="7">
    <w:abstractNumId w:val="11"/>
  </w:num>
  <w:num w:numId="8">
    <w:abstractNumId w:val="13"/>
  </w:num>
  <w:num w:numId="9">
    <w:abstractNumId w:val="6"/>
  </w:num>
  <w:num w:numId="10">
    <w:abstractNumId w:val="4"/>
  </w:num>
  <w:num w:numId="11">
    <w:abstractNumId w:val="3"/>
  </w:num>
  <w:num w:numId="12">
    <w:abstractNumId w:val="18"/>
  </w:num>
  <w:num w:numId="13">
    <w:abstractNumId w:val="19"/>
  </w:num>
  <w:num w:numId="14">
    <w:abstractNumId w:val="21"/>
  </w:num>
  <w:num w:numId="15">
    <w:abstractNumId w:val="17"/>
  </w:num>
  <w:num w:numId="16">
    <w:abstractNumId w:val="1"/>
  </w:num>
  <w:num w:numId="17">
    <w:abstractNumId w:val="14"/>
  </w:num>
  <w:num w:numId="18">
    <w:abstractNumId w:val="7"/>
  </w:num>
  <w:num w:numId="19">
    <w:abstractNumId w:val="8"/>
  </w:num>
  <w:num w:numId="20">
    <w:abstractNumId w:val="16"/>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34"/>
    <w:rsid w:val="000248EE"/>
    <w:rsid w:val="000434F5"/>
    <w:rsid w:val="00063D92"/>
    <w:rsid w:val="00067DBC"/>
    <w:rsid w:val="0007601B"/>
    <w:rsid w:val="00096349"/>
    <w:rsid w:val="000A4C4A"/>
    <w:rsid w:val="000B0ABE"/>
    <w:rsid w:val="000B5789"/>
    <w:rsid w:val="000C7CA5"/>
    <w:rsid w:val="00113D96"/>
    <w:rsid w:val="00130DEE"/>
    <w:rsid w:val="00132259"/>
    <w:rsid w:val="00143B8B"/>
    <w:rsid w:val="00174680"/>
    <w:rsid w:val="001B6EC8"/>
    <w:rsid w:val="001C47DD"/>
    <w:rsid w:val="001C7411"/>
    <w:rsid w:val="001D11B9"/>
    <w:rsid w:val="001E1A26"/>
    <w:rsid w:val="00210C02"/>
    <w:rsid w:val="0021585C"/>
    <w:rsid w:val="002228E2"/>
    <w:rsid w:val="00223993"/>
    <w:rsid w:val="00240995"/>
    <w:rsid w:val="00242421"/>
    <w:rsid w:val="002461D1"/>
    <w:rsid w:val="00253C9E"/>
    <w:rsid w:val="00273189"/>
    <w:rsid w:val="002A1574"/>
    <w:rsid w:val="002A3B5E"/>
    <w:rsid w:val="002A54D2"/>
    <w:rsid w:val="002C348A"/>
    <w:rsid w:val="002C6E4A"/>
    <w:rsid w:val="002F1B9C"/>
    <w:rsid w:val="00307A9F"/>
    <w:rsid w:val="00323622"/>
    <w:rsid w:val="003279C7"/>
    <w:rsid w:val="00333B9F"/>
    <w:rsid w:val="00333C0D"/>
    <w:rsid w:val="00334E1E"/>
    <w:rsid w:val="003430DA"/>
    <w:rsid w:val="00346608"/>
    <w:rsid w:val="00346834"/>
    <w:rsid w:val="00373782"/>
    <w:rsid w:val="00381558"/>
    <w:rsid w:val="00394330"/>
    <w:rsid w:val="00394CF6"/>
    <w:rsid w:val="003A3BE3"/>
    <w:rsid w:val="003C43ED"/>
    <w:rsid w:val="003C5635"/>
    <w:rsid w:val="003F0CAB"/>
    <w:rsid w:val="004071B7"/>
    <w:rsid w:val="004157C1"/>
    <w:rsid w:val="004274F2"/>
    <w:rsid w:val="004349B0"/>
    <w:rsid w:val="004360DA"/>
    <w:rsid w:val="0043659D"/>
    <w:rsid w:val="00473892"/>
    <w:rsid w:val="00473FF8"/>
    <w:rsid w:val="004804A5"/>
    <w:rsid w:val="0049410B"/>
    <w:rsid w:val="004A2BAF"/>
    <w:rsid w:val="004B22B8"/>
    <w:rsid w:val="004C30A1"/>
    <w:rsid w:val="004C7992"/>
    <w:rsid w:val="004D48D1"/>
    <w:rsid w:val="004E7B8C"/>
    <w:rsid w:val="004F0F85"/>
    <w:rsid w:val="005162BF"/>
    <w:rsid w:val="005365E6"/>
    <w:rsid w:val="00544703"/>
    <w:rsid w:val="0056033A"/>
    <w:rsid w:val="0056259C"/>
    <w:rsid w:val="005712DF"/>
    <w:rsid w:val="00573481"/>
    <w:rsid w:val="00575055"/>
    <w:rsid w:val="00575736"/>
    <w:rsid w:val="0059401B"/>
    <w:rsid w:val="00595B31"/>
    <w:rsid w:val="005A09A1"/>
    <w:rsid w:val="005B0FA0"/>
    <w:rsid w:val="005B2E13"/>
    <w:rsid w:val="005C2FC5"/>
    <w:rsid w:val="005C3838"/>
    <w:rsid w:val="005F08D4"/>
    <w:rsid w:val="005F5C75"/>
    <w:rsid w:val="005F6277"/>
    <w:rsid w:val="00623624"/>
    <w:rsid w:val="006533CB"/>
    <w:rsid w:val="006677DD"/>
    <w:rsid w:val="00680444"/>
    <w:rsid w:val="00680B92"/>
    <w:rsid w:val="006B0BCF"/>
    <w:rsid w:val="006B33D6"/>
    <w:rsid w:val="006B38B3"/>
    <w:rsid w:val="006C5CC5"/>
    <w:rsid w:val="006F4277"/>
    <w:rsid w:val="00702600"/>
    <w:rsid w:val="00703532"/>
    <w:rsid w:val="00706AAC"/>
    <w:rsid w:val="00706FCF"/>
    <w:rsid w:val="00712C1E"/>
    <w:rsid w:val="00716AD5"/>
    <w:rsid w:val="00734689"/>
    <w:rsid w:val="0073579F"/>
    <w:rsid w:val="00761817"/>
    <w:rsid w:val="00767048"/>
    <w:rsid w:val="0077717B"/>
    <w:rsid w:val="007935C9"/>
    <w:rsid w:val="007A5457"/>
    <w:rsid w:val="007B5D76"/>
    <w:rsid w:val="007E457D"/>
    <w:rsid w:val="007E5FFF"/>
    <w:rsid w:val="007F0146"/>
    <w:rsid w:val="00807F38"/>
    <w:rsid w:val="0083609C"/>
    <w:rsid w:val="0083630A"/>
    <w:rsid w:val="00836F68"/>
    <w:rsid w:val="00841254"/>
    <w:rsid w:val="00847178"/>
    <w:rsid w:val="0087653D"/>
    <w:rsid w:val="00887A9D"/>
    <w:rsid w:val="00895FE4"/>
    <w:rsid w:val="008A30FD"/>
    <w:rsid w:val="008A783D"/>
    <w:rsid w:val="008B044A"/>
    <w:rsid w:val="008B6B3C"/>
    <w:rsid w:val="008F5A1A"/>
    <w:rsid w:val="00916ABD"/>
    <w:rsid w:val="0094175D"/>
    <w:rsid w:val="00980741"/>
    <w:rsid w:val="009914E0"/>
    <w:rsid w:val="009C1469"/>
    <w:rsid w:val="009C755F"/>
    <w:rsid w:val="009D02D6"/>
    <w:rsid w:val="009E3603"/>
    <w:rsid w:val="009E40A3"/>
    <w:rsid w:val="00A02E3D"/>
    <w:rsid w:val="00A035D2"/>
    <w:rsid w:val="00A12020"/>
    <w:rsid w:val="00A120E4"/>
    <w:rsid w:val="00A3003B"/>
    <w:rsid w:val="00A33473"/>
    <w:rsid w:val="00A51217"/>
    <w:rsid w:val="00A637A0"/>
    <w:rsid w:val="00A86763"/>
    <w:rsid w:val="00AA1698"/>
    <w:rsid w:val="00AA2CDB"/>
    <w:rsid w:val="00AB6D75"/>
    <w:rsid w:val="00AC3AE8"/>
    <w:rsid w:val="00AC71FA"/>
    <w:rsid w:val="00AD1B37"/>
    <w:rsid w:val="00AE0276"/>
    <w:rsid w:val="00B1285B"/>
    <w:rsid w:val="00B149AD"/>
    <w:rsid w:val="00B15E79"/>
    <w:rsid w:val="00B1672C"/>
    <w:rsid w:val="00B1696B"/>
    <w:rsid w:val="00B20963"/>
    <w:rsid w:val="00B36F5A"/>
    <w:rsid w:val="00B525C3"/>
    <w:rsid w:val="00B543BC"/>
    <w:rsid w:val="00B62FD1"/>
    <w:rsid w:val="00B932E6"/>
    <w:rsid w:val="00BB2A9C"/>
    <w:rsid w:val="00BB7C24"/>
    <w:rsid w:val="00BC12A5"/>
    <w:rsid w:val="00BE0C4C"/>
    <w:rsid w:val="00BE28F2"/>
    <w:rsid w:val="00BF3B09"/>
    <w:rsid w:val="00C03CBD"/>
    <w:rsid w:val="00C10A17"/>
    <w:rsid w:val="00C25E1E"/>
    <w:rsid w:val="00C35EB1"/>
    <w:rsid w:val="00C4476C"/>
    <w:rsid w:val="00C54193"/>
    <w:rsid w:val="00C66292"/>
    <w:rsid w:val="00C84BA0"/>
    <w:rsid w:val="00C878DC"/>
    <w:rsid w:val="00C9489E"/>
    <w:rsid w:val="00CB1894"/>
    <w:rsid w:val="00CC4696"/>
    <w:rsid w:val="00CC5B0B"/>
    <w:rsid w:val="00CE13F2"/>
    <w:rsid w:val="00CF19C4"/>
    <w:rsid w:val="00D444CC"/>
    <w:rsid w:val="00D65458"/>
    <w:rsid w:val="00D743BA"/>
    <w:rsid w:val="00D746A9"/>
    <w:rsid w:val="00DA3C90"/>
    <w:rsid w:val="00DA45BE"/>
    <w:rsid w:val="00DA6E18"/>
    <w:rsid w:val="00DB04AC"/>
    <w:rsid w:val="00DC2D1A"/>
    <w:rsid w:val="00DF2C24"/>
    <w:rsid w:val="00E155E0"/>
    <w:rsid w:val="00E27D73"/>
    <w:rsid w:val="00E30FC7"/>
    <w:rsid w:val="00E4610E"/>
    <w:rsid w:val="00E5798C"/>
    <w:rsid w:val="00E63FB9"/>
    <w:rsid w:val="00E669C6"/>
    <w:rsid w:val="00E7375C"/>
    <w:rsid w:val="00E83FFC"/>
    <w:rsid w:val="00E85B61"/>
    <w:rsid w:val="00E8648E"/>
    <w:rsid w:val="00E91AC1"/>
    <w:rsid w:val="00E9371C"/>
    <w:rsid w:val="00E9785D"/>
    <w:rsid w:val="00EA1713"/>
    <w:rsid w:val="00EA2F99"/>
    <w:rsid w:val="00EA36A8"/>
    <w:rsid w:val="00EA6837"/>
    <w:rsid w:val="00EB43D9"/>
    <w:rsid w:val="00EB680D"/>
    <w:rsid w:val="00EC29C4"/>
    <w:rsid w:val="00EC5A4B"/>
    <w:rsid w:val="00EE203E"/>
    <w:rsid w:val="00EF1EB1"/>
    <w:rsid w:val="00EF7419"/>
    <w:rsid w:val="00F358D4"/>
    <w:rsid w:val="00F512BF"/>
    <w:rsid w:val="00F526D6"/>
    <w:rsid w:val="00F55C11"/>
    <w:rsid w:val="00F625E3"/>
    <w:rsid w:val="00F76901"/>
    <w:rsid w:val="00F80986"/>
    <w:rsid w:val="00F86D2A"/>
    <w:rsid w:val="00F94FA7"/>
    <w:rsid w:val="00FA4AC9"/>
    <w:rsid w:val="00FB3549"/>
    <w:rsid w:val="00FB6DDD"/>
    <w:rsid w:val="00FD7597"/>
    <w:rsid w:val="00FF3F54"/>
    <w:rsid w:val="280B5C5A"/>
    <w:rsid w:val="641F3DDB"/>
    <w:rsid w:val="7DF815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0110EE-FE88-4F5F-8FA4-61B570E2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F6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36F68"/>
    <w:pPr>
      <w:jc w:val="left"/>
    </w:pPr>
  </w:style>
  <w:style w:type="paragraph" w:styleId="a5">
    <w:name w:val="Balloon Text"/>
    <w:basedOn w:val="a"/>
    <w:link w:val="a6"/>
    <w:uiPriority w:val="99"/>
    <w:semiHidden/>
    <w:unhideWhenUsed/>
    <w:rsid w:val="00836F68"/>
    <w:rPr>
      <w:sz w:val="18"/>
      <w:szCs w:val="18"/>
    </w:rPr>
  </w:style>
  <w:style w:type="paragraph" w:styleId="a7">
    <w:name w:val="footer"/>
    <w:basedOn w:val="a"/>
    <w:link w:val="a8"/>
    <w:uiPriority w:val="99"/>
    <w:unhideWhenUsed/>
    <w:rsid w:val="00836F68"/>
    <w:pPr>
      <w:tabs>
        <w:tab w:val="center" w:pos="4153"/>
        <w:tab w:val="right" w:pos="8306"/>
      </w:tabs>
      <w:snapToGrid w:val="0"/>
      <w:jc w:val="left"/>
    </w:pPr>
    <w:rPr>
      <w:sz w:val="18"/>
      <w:szCs w:val="18"/>
    </w:rPr>
  </w:style>
  <w:style w:type="paragraph" w:styleId="a9">
    <w:name w:val="header"/>
    <w:basedOn w:val="a"/>
    <w:link w:val="aa"/>
    <w:uiPriority w:val="99"/>
    <w:unhideWhenUsed/>
    <w:rsid w:val="00836F68"/>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uiPriority w:val="99"/>
    <w:semiHidden/>
    <w:unhideWhenUsed/>
    <w:rsid w:val="00836F68"/>
    <w:rPr>
      <w:sz w:val="21"/>
      <w:szCs w:val="21"/>
    </w:rPr>
  </w:style>
  <w:style w:type="character" w:customStyle="1" w:styleId="aa">
    <w:name w:val="页眉 字符"/>
    <w:basedOn w:val="a0"/>
    <w:link w:val="a9"/>
    <w:uiPriority w:val="99"/>
    <w:rsid w:val="00836F68"/>
    <w:rPr>
      <w:rFonts w:ascii="Times New Roman" w:eastAsia="宋体" w:hAnsi="Times New Roman" w:cs="Times New Roman"/>
      <w:sz w:val="18"/>
      <w:szCs w:val="18"/>
    </w:rPr>
  </w:style>
  <w:style w:type="character" w:customStyle="1" w:styleId="a8">
    <w:name w:val="页脚 字符"/>
    <w:basedOn w:val="a0"/>
    <w:link w:val="a7"/>
    <w:uiPriority w:val="99"/>
    <w:rsid w:val="00836F68"/>
    <w:rPr>
      <w:rFonts w:ascii="Times New Roman" w:eastAsia="宋体" w:hAnsi="Times New Roman" w:cs="Times New Roman"/>
      <w:sz w:val="18"/>
      <w:szCs w:val="18"/>
    </w:rPr>
  </w:style>
  <w:style w:type="character" w:customStyle="1" w:styleId="a6">
    <w:name w:val="批注框文本 字符"/>
    <w:basedOn w:val="a0"/>
    <w:link w:val="a5"/>
    <w:uiPriority w:val="99"/>
    <w:semiHidden/>
    <w:rsid w:val="00836F68"/>
    <w:rPr>
      <w:rFonts w:ascii="Times New Roman" w:eastAsia="宋体" w:hAnsi="Times New Roman" w:cs="Times New Roman"/>
      <w:sz w:val="18"/>
      <w:szCs w:val="18"/>
    </w:rPr>
  </w:style>
  <w:style w:type="character" w:customStyle="1" w:styleId="a4">
    <w:name w:val="批注文字 字符"/>
    <w:basedOn w:val="a0"/>
    <w:link w:val="a3"/>
    <w:uiPriority w:val="99"/>
    <w:semiHidden/>
    <w:rsid w:val="00836F68"/>
    <w:rPr>
      <w:rFonts w:ascii="Times New Roman" w:eastAsia="宋体" w:hAnsi="Times New Roman" w:cs="Times New Roman"/>
      <w:szCs w:val="24"/>
    </w:rPr>
  </w:style>
  <w:style w:type="paragraph" w:customStyle="1" w:styleId="1">
    <w:name w:val="修订1"/>
    <w:hidden/>
    <w:uiPriority w:val="99"/>
    <w:semiHidden/>
    <w:rsid w:val="00836F68"/>
    <w:rPr>
      <w:rFonts w:ascii="Times New Roman" w:eastAsia="宋体" w:hAnsi="Times New Roman" w:cs="Times New Roman"/>
      <w:kern w:val="2"/>
      <w:sz w:val="21"/>
      <w:szCs w:val="24"/>
    </w:rPr>
  </w:style>
  <w:style w:type="paragraph" w:styleId="ac">
    <w:name w:val="List Paragraph"/>
    <w:basedOn w:val="a"/>
    <w:uiPriority w:val="34"/>
    <w:qFormat/>
    <w:rsid w:val="00E9371C"/>
    <w:pPr>
      <w:ind w:firstLineChars="200" w:firstLine="420"/>
    </w:pPr>
    <w:rPr>
      <w:rFonts w:asciiTheme="minorHAnsi" w:eastAsiaTheme="minorEastAsia" w:hAnsiTheme="minorHAnsi" w:cstheme="minorBidi"/>
      <w:szCs w:val="22"/>
    </w:rPr>
  </w:style>
  <w:style w:type="character" w:styleId="ad">
    <w:name w:val="Strong"/>
    <w:basedOn w:val="a0"/>
    <w:uiPriority w:val="22"/>
    <w:qFormat/>
    <w:rsid w:val="006C5CC5"/>
    <w:rPr>
      <w:b/>
      <w:bCs/>
    </w:rPr>
  </w:style>
  <w:style w:type="paragraph" w:styleId="ae">
    <w:name w:val="Normal (Web)"/>
    <w:basedOn w:val="a"/>
    <w:uiPriority w:val="99"/>
    <w:semiHidden/>
    <w:unhideWhenUsed/>
    <w:rsid w:val="00980741"/>
    <w:pPr>
      <w:widowControl/>
      <w:spacing w:before="100" w:beforeAutospacing="1" w:after="100" w:afterAutospacing="1"/>
      <w:jc w:val="left"/>
    </w:pPr>
    <w:rPr>
      <w:rFonts w:ascii="宋体" w:hAnsi="宋体" w:cs="宋体"/>
      <w:kern w:val="0"/>
      <w:sz w:val="24"/>
    </w:rPr>
  </w:style>
  <w:style w:type="paragraph" w:styleId="af">
    <w:name w:val="annotation subject"/>
    <w:basedOn w:val="a3"/>
    <w:next w:val="a3"/>
    <w:link w:val="af0"/>
    <w:uiPriority w:val="99"/>
    <w:semiHidden/>
    <w:unhideWhenUsed/>
    <w:rsid w:val="002228E2"/>
    <w:rPr>
      <w:b/>
      <w:bCs/>
    </w:rPr>
  </w:style>
  <w:style w:type="character" w:customStyle="1" w:styleId="af0">
    <w:name w:val="批注主题 字符"/>
    <w:basedOn w:val="a4"/>
    <w:link w:val="af"/>
    <w:uiPriority w:val="99"/>
    <w:semiHidden/>
    <w:rsid w:val="002228E2"/>
    <w:rPr>
      <w:rFonts w:ascii="Times New Roman" w:eastAsia="宋体" w:hAnsi="Times New Roman" w:cs="Times New Roman"/>
      <w:b/>
      <w:bCs/>
      <w:kern w:val="2"/>
      <w:sz w:val="21"/>
      <w:szCs w:val="24"/>
    </w:rPr>
  </w:style>
  <w:style w:type="paragraph" w:styleId="af1">
    <w:name w:val="Revision"/>
    <w:hidden/>
    <w:uiPriority w:val="99"/>
    <w:semiHidden/>
    <w:rsid w:val="002228E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1810">
      <w:bodyDiv w:val="1"/>
      <w:marLeft w:val="0"/>
      <w:marRight w:val="0"/>
      <w:marTop w:val="0"/>
      <w:marBottom w:val="0"/>
      <w:divBdr>
        <w:top w:val="none" w:sz="0" w:space="0" w:color="auto"/>
        <w:left w:val="none" w:sz="0" w:space="0" w:color="auto"/>
        <w:bottom w:val="none" w:sz="0" w:space="0" w:color="auto"/>
        <w:right w:val="none" w:sz="0" w:space="0" w:color="auto"/>
      </w:divBdr>
    </w:div>
    <w:div w:id="323364619">
      <w:bodyDiv w:val="1"/>
      <w:marLeft w:val="0"/>
      <w:marRight w:val="0"/>
      <w:marTop w:val="0"/>
      <w:marBottom w:val="0"/>
      <w:divBdr>
        <w:top w:val="none" w:sz="0" w:space="0" w:color="auto"/>
        <w:left w:val="none" w:sz="0" w:space="0" w:color="auto"/>
        <w:bottom w:val="none" w:sz="0" w:space="0" w:color="auto"/>
        <w:right w:val="none" w:sz="0" w:space="0" w:color="auto"/>
      </w:divBdr>
    </w:div>
    <w:div w:id="878278840">
      <w:bodyDiv w:val="1"/>
      <w:marLeft w:val="0"/>
      <w:marRight w:val="0"/>
      <w:marTop w:val="0"/>
      <w:marBottom w:val="0"/>
      <w:divBdr>
        <w:top w:val="none" w:sz="0" w:space="0" w:color="auto"/>
        <w:left w:val="none" w:sz="0" w:space="0" w:color="auto"/>
        <w:bottom w:val="none" w:sz="0" w:space="0" w:color="auto"/>
        <w:right w:val="none" w:sz="0" w:space="0" w:color="auto"/>
      </w:divBdr>
    </w:div>
    <w:div w:id="201171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25F6DB-8E05-44DF-83A6-391D9760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795</Words>
  <Characters>4534</Characters>
  <Application>Microsoft Office Word</Application>
  <DocSecurity>0</DocSecurity>
  <Lines>37</Lines>
  <Paragraphs>10</Paragraphs>
  <ScaleCrop>false</ScaleCrop>
  <Company>Microsoft</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dell-zhaoying</cp:lastModifiedBy>
  <cp:revision>11</cp:revision>
  <dcterms:created xsi:type="dcterms:W3CDTF">2020-06-24T03:03:00Z</dcterms:created>
  <dcterms:modified xsi:type="dcterms:W3CDTF">2020-07-07T08:06:00Z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