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36"/>
        </w:rPr>
      </w:pPr>
      <w:r>
        <w:rPr>
          <w:rFonts w:hint="eastAsia"/>
          <w:b/>
          <w:bCs/>
          <w:sz w:val="28"/>
          <w:szCs w:val="36"/>
        </w:rPr>
        <w:t>南京大学医学院基础医学博士生培养方案</w:t>
      </w:r>
    </w:p>
    <w:p>
      <w:pPr>
        <w:spacing w:line="360" w:lineRule="auto"/>
        <w:jc w:val="center"/>
        <w:rPr>
          <w:b/>
          <w:bCs/>
          <w:sz w:val="28"/>
          <w:szCs w:val="36"/>
        </w:rPr>
      </w:pPr>
      <w:r>
        <w:rPr>
          <w:rFonts w:hint="eastAsia" w:ascii="宋体" w:hAnsi="宋体" w:eastAsia="宋体" w:cs="宋体"/>
          <w:b/>
          <w:bCs/>
          <w:sz w:val="24"/>
          <w:szCs w:val="32"/>
        </w:rPr>
        <w:t>（学科代码：100100）</w:t>
      </w:r>
    </w:p>
    <w:p>
      <w:pPr>
        <w:spacing w:line="360" w:lineRule="auto"/>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培养目标</w:t>
      </w:r>
    </w:p>
    <w:p>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攻读基础医学博士学位研究生（以下简称博士生）必须坚持德、智、体全面发展，具体要求是： </w:t>
      </w:r>
    </w:p>
    <w:p>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1、较好地掌握马克思主义的基本原理，坚持四项基本原则，热爱祖国，遵纪守法，品德良好，有献身于科学的强烈事业心和创新精神，能够积极为社会主义现代化建设事业服务。 </w:t>
      </w:r>
    </w:p>
    <w:p>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2、在本门学科上掌握坚实宽广的基础理论和系统深入的专门知识；能独立地、创造性地从事基础医学科学研究工作，全面了解基础医学的发展动向，掌握本学科常用的研究方法、实验技能和评价手段，能独立承担和主持与本学科有关的教学、科研工作，具有严谨的科研作风、良好的合作精神和较强的学术交流能力，能在本学科前沿学术领域上做出创造性的成果。 </w:t>
      </w:r>
    </w:p>
    <w:p>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 xml:space="preserve">3、至少掌握一门外国语，能熟练地阅读本专业的外文资料，具有一定的写作能力和进行国际学术交流的能力。 </w:t>
      </w:r>
    </w:p>
    <w:p>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4、具有健康的身心。</w:t>
      </w:r>
    </w:p>
    <w:p>
      <w:pPr>
        <w:spacing w:line="360" w:lineRule="auto"/>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研究方向</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详见当年医学院招生博士研究生专业目录。</w:t>
      </w:r>
    </w:p>
    <w:p>
      <w:pPr>
        <w:spacing w:line="360" w:lineRule="auto"/>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学制及修业年限</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普通博士生基本修业年限为4年，最长修业年限为8年；直博生基本修业年限为5年，最长修业年限为8年。</w:t>
      </w:r>
    </w:p>
    <w:p>
      <w:pPr>
        <w:spacing w:line="360" w:lineRule="auto"/>
        <w:ind w:firstLine="480" w:firstLineChars="200"/>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培养方式</w:t>
      </w:r>
    </w:p>
    <w:p>
      <w:pPr>
        <w:spacing w:line="360" w:lineRule="auto"/>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lang w:eastAsia="zh-CN"/>
        </w:rPr>
        <w:t>着力塑造以“立德树人第一责任人”为核心的博士生导师教育文化观，强化博士生导师立德树人的责任感和使命感。引导博士生导师做好博士生求知的指导者、学术的引路人和品德的垂范者。</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1、博士生指导实行导师负责制。强化导师在博士生培养全过程的指导责任，特别是在博士资格考核、开题报告、中期检查和预答辩等环节中的指导和督促作用。</w:t>
      </w:r>
    </w:p>
    <w:p>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 xml:space="preserve">2、博士生应在导师指导下，学习有关课程，查阅文献资料，参加学术交流，确定具体课题，独立从事科学研究，取得创新性成果。 </w:t>
      </w:r>
    </w:p>
    <w:p>
      <w:pPr>
        <w:spacing w:line="360" w:lineRule="auto"/>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3、导师应加强对博士生的培养过程管理，可根据实际情况适度调整博士生的培养计划，使博士生培养、立德树人、科学研究紧密结合起来。</w:t>
      </w:r>
    </w:p>
    <w:p>
      <w:pPr>
        <w:spacing w:line="360" w:lineRule="auto"/>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课程设置</w:t>
      </w:r>
    </w:p>
    <w:p>
      <w:pPr>
        <w:spacing w:line="360" w:lineRule="auto"/>
        <w:jc w:val="left"/>
        <w:rPr>
          <w:rFonts w:ascii="宋体" w:hAnsi="宋体" w:eastAsia="宋体" w:cs="宋体"/>
          <w:sz w:val="24"/>
          <w:szCs w:val="32"/>
        </w:rPr>
      </w:pPr>
      <w:r>
        <w:rPr>
          <w:rFonts w:hint="eastAsia" w:ascii="宋体" w:hAnsi="宋体" w:eastAsia="宋体" w:cs="宋体"/>
          <w:sz w:val="24"/>
          <w:szCs w:val="32"/>
        </w:rPr>
        <w:t xml:space="preserve">A. 普通博士生 </w:t>
      </w:r>
    </w:p>
    <w:p>
      <w:pPr>
        <w:spacing w:line="360" w:lineRule="auto"/>
        <w:ind w:firstLine="480" w:firstLineChars="200"/>
        <w:jc w:val="left"/>
        <w:rPr>
          <w:rFonts w:ascii="宋体" w:hAnsi="宋体" w:eastAsia="宋体" w:cs="宋体"/>
          <w:sz w:val="24"/>
          <w:szCs w:val="32"/>
        </w:rPr>
      </w:pPr>
      <w:bookmarkStart w:id="0" w:name="_Hlk42200149"/>
      <w:r>
        <w:rPr>
          <w:rFonts w:hint="eastAsia" w:ascii="宋体" w:hAnsi="宋体" w:eastAsia="宋体" w:cs="宋体"/>
          <w:sz w:val="24"/>
          <w:szCs w:val="32"/>
        </w:rPr>
        <w:t>攻读博士学位期间，需选修公共必修课程2门，分别为博士生英语</w:t>
      </w:r>
      <w:r>
        <w:rPr>
          <w:rFonts w:hint="eastAsia" w:ascii="宋体" w:hAnsi="宋体" w:eastAsia="宋体" w:cs="宋体"/>
          <w:sz w:val="24"/>
          <w:szCs w:val="32"/>
          <w:lang w:eastAsia="zh-CN"/>
        </w:rPr>
        <w:t>课程</w:t>
      </w:r>
      <w:r>
        <w:rPr>
          <w:rFonts w:hint="eastAsia" w:ascii="宋体" w:hAnsi="宋体" w:eastAsia="宋体" w:cs="宋体"/>
          <w:sz w:val="24"/>
          <w:szCs w:val="32"/>
        </w:rPr>
        <w:t>和博士生政治</w:t>
      </w:r>
      <w:r>
        <w:rPr>
          <w:rFonts w:hint="eastAsia" w:ascii="宋体" w:hAnsi="宋体" w:eastAsia="宋体" w:cs="宋体"/>
          <w:sz w:val="24"/>
          <w:szCs w:val="32"/>
          <w:lang w:eastAsia="zh-CN"/>
        </w:rPr>
        <w:t>课程</w:t>
      </w:r>
      <w:r>
        <w:rPr>
          <w:rFonts w:hint="eastAsia" w:ascii="宋体" w:hAnsi="宋体" w:eastAsia="宋体" w:cs="宋体"/>
          <w:sz w:val="24"/>
          <w:szCs w:val="32"/>
        </w:rPr>
        <w:t>，院系必修课程1门（生物医学仪器分析）与专业学位课程1-3门，其中导师讲授课程限1门</w:t>
      </w:r>
      <w:bookmarkEnd w:id="0"/>
      <w:r>
        <w:rPr>
          <w:rFonts w:hint="eastAsia" w:ascii="宋体" w:hAnsi="宋体" w:eastAsia="宋体" w:cs="宋体"/>
          <w:sz w:val="24"/>
          <w:szCs w:val="32"/>
        </w:rPr>
        <w:t>。</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color w:val="000000" w:themeColor="text1"/>
          <w:sz w:val="24"/>
          <w:szCs w:val="32"/>
          <w14:textFill>
            <w14:solidFill>
              <w14:schemeClr w14:val="tx1"/>
            </w14:solidFill>
          </w14:textFill>
        </w:rPr>
        <w:t>跨学科专业</w:t>
      </w:r>
      <w:r>
        <w:rPr>
          <w:rFonts w:hint="eastAsia" w:ascii="宋体" w:hAnsi="宋体" w:eastAsia="宋体" w:cs="宋体"/>
          <w:sz w:val="24"/>
          <w:szCs w:val="32"/>
        </w:rPr>
        <w:t>的博士研究生，应在导师指导下补修2－3门本学科的硕士生主干课程，没有补修成绩或补修课程考试不合格者不得进入论文答辩。</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 xml:space="preserve">普通博士生课程学习，应在博士生资格考核前完成。课程设置见附录。 </w:t>
      </w:r>
    </w:p>
    <w:p>
      <w:pPr>
        <w:spacing w:line="360" w:lineRule="auto"/>
        <w:jc w:val="left"/>
        <w:rPr>
          <w:rFonts w:ascii="宋体" w:hAnsi="宋体" w:eastAsia="宋体" w:cs="宋体"/>
          <w:sz w:val="24"/>
          <w:szCs w:val="32"/>
        </w:rPr>
      </w:pPr>
      <w:r>
        <w:rPr>
          <w:rFonts w:hint="eastAsia" w:ascii="宋体" w:hAnsi="宋体" w:eastAsia="宋体" w:cs="宋体"/>
          <w:sz w:val="24"/>
          <w:szCs w:val="32"/>
        </w:rPr>
        <w:t>B．直博生</w:t>
      </w:r>
    </w:p>
    <w:p>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攻读博士学位期间，需</w:t>
      </w:r>
      <w:r>
        <w:rPr>
          <w:rFonts w:hint="eastAsia" w:ascii="宋体" w:hAnsi="宋体" w:eastAsia="宋体" w:cs="宋体"/>
          <w:sz w:val="24"/>
          <w:szCs w:val="32"/>
          <w:lang w:eastAsia="zh-CN"/>
        </w:rPr>
        <w:t>选修</w:t>
      </w:r>
      <w:r>
        <w:rPr>
          <w:rFonts w:hint="eastAsia" w:ascii="宋体" w:hAnsi="宋体" w:eastAsia="宋体" w:cs="宋体"/>
          <w:sz w:val="24"/>
          <w:szCs w:val="32"/>
        </w:rPr>
        <w:t>3门政治课程和博士生英语课程</w:t>
      </w:r>
      <w:r>
        <w:rPr>
          <w:rFonts w:hint="eastAsia" w:ascii="宋体" w:hAnsi="宋体" w:eastAsia="宋体" w:cs="宋体"/>
          <w:sz w:val="24"/>
          <w:szCs w:val="32"/>
          <w:lang w:eastAsia="zh-CN"/>
        </w:rPr>
        <w:t>。直博生</w:t>
      </w:r>
      <w:r>
        <w:rPr>
          <w:rFonts w:hint="eastAsia" w:ascii="宋体" w:hAnsi="宋体" w:eastAsia="宋体" w:cs="宋体"/>
          <w:sz w:val="24"/>
          <w:szCs w:val="32"/>
        </w:rPr>
        <w:t xml:space="preserve">所修学的硕士生专业课程不低于19个学分，其中学科核心课程和专业必修课程（B、C类课程）12学分 </w:t>
      </w:r>
      <w:r>
        <w:rPr>
          <w:rFonts w:hint="eastAsia" w:ascii="宋体" w:hAnsi="宋体" w:eastAsia="宋体" w:cs="宋体"/>
          <w:sz w:val="24"/>
          <w:szCs w:val="32"/>
          <w:lang w:eastAsia="zh-CN"/>
        </w:rPr>
        <w:t>。博士</w:t>
      </w:r>
      <w:r>
        <w:rPr>
          <w:rFonts w:hint="eastAsia" w:ascii="宋体" w:hAnsi="宋体" w:eastAsia="宋体" w:cs="宋体"/>
          <w:sz w:val="24"/>
          <w:szCs w:val="32"/>
        </w:rPr>
        <w:t>专业学位课程1-3门，其中导师讲授课程限1门。</w:t>
      </w:r>
    </w:p>
    <w:p>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非本专业本科入学者，应在导师指导下补修2－3门本学科的硕士生主干课程，没有补修成绩或补修课程考试不合格者不得进入论文答辩。</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直博生课程学习，应在博士生资格考核前完成。课程设置见附录。</w:t>
      </w:r>
    </w:p>
    <w:p>
      <w:pPr>
        <w:spacing w:line="360" w:lineRule="auto"/>
        <w:ind w:firstLine="480" w:firstLineChars="200"/>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质量监控</w:t>
      </w:r>
    </w:p>
    <w:p>
      <w:pPr>
        <w:spacing w:line="360" w:lineRule="auto"/>
        <w:jc w:val="left"/>
        <w:rPr>
          <w:rFonts w:ascii="宋体" w:hAnsi="宋体" w:eastAsia="宋体" w:cs="宋体"/>
          <w:sz w:val="24"/>
          <w:szCs w:val="32"/>
        </w:rPr>
      </w:pPr>
      <w:r>
        <w:rPr>
          <w:rFonts w:hint="eastAsia" w:ascii="宋体" w:hAnsi="宋体" w:eastAsia="宋体" w:cs="宋体"/>
          <w:sz w:val="24"/>
          <w:szCs w:val="32"/>
        </w:rPr>
        <w:t>1、博士生资格考核（院系组织）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我院根据本学科博士生培养要求，主要考核基础理论与专业基础知识、综合科研工作能力和学风。</w:t>
      </w:r>
      <w:r>
        <w:rPr>
          <w:rFonts w:hint="eastAsia" w:ascii="宋体" w:hAnsi="宋体" w:eastAsia="宋体" w:cs="宋体"/>
          <w:color w:val="000000" w:themeColor="text1"/>
          <w:sz w:val="24"/>
          <w:szCs w:val="32"/>
          <w14:textFill>
            <w14:solidFill>
              <w14:schemeClr w14:val="tx1"/>
            </w14:solidFill>
          </w14:textFill>
        </w:rPr>
        <w:t>考核包括笔试和面试。</w:t>
      </w:r>
      <w:r>
        <w:rPr>
          <w:rFonts w:hint="eastAsia" w:ascii="宋体" w:hAnsi="宋体" w:eastAsia="宋体" w:cs="宋体"/>
          <w:sz w:val="24"/>
          <w:szCs w:val="32"/>
        </w:rPr>
        <w:t>普通博士生资格考核安排在入学后第三学期</w:t>
      </w:r>
      <w:r>
        <w:rPr>
          <w:rFonts w:hint="eastAsia" w:ascii="宋体" w:hAnsi="宋体" w:eastAsia="宋体" w:cs="宋体"/>
          <w:sz w:val="24"/>
          <w:szCs w:val="32"/>
          <w:lang w:eastAsia="zh-CN"/>
        </w:rPr>
        <w:t>末</w:t>
      </w:r>
      <w:r>
        <w:rPr>
          <w:rFonts w:hint="eastAsia" w:ascii="宋体" w:hAnsi="宋体" w:eastAsia="宋体" w:cs="宋体"/>
          <w:sz w:val="24"/>
          <w:szCs w:val="32"/>
        </w:rPr>
        <w:t>（</w:t>
      </w:r>
      <w:r>
        <w:rPr>
          <w:rFonts w:hint="eastAsia" w:ascii="宋体" w:hAnsi="宋体" w:eastAsia="宋体" w:cs="宋体"/>
          <w:sz w:val="24"/>
          <w:szCs w:val="32"/>
          <w:lang w:val="en-US" w:eastAsia="zh-CN"/>
        </w:rPr>
        <w:t>1</w:t>
      </w:r>
      <w:r>
        <w:rPr>
          <w:rFonts w:hint="eastAsia" w:ascii="宋体" w:hAnsi="宋体" w:eastAsia="宋体" w:cs="宋体"/>
          <w:sz w:val="24"/>
          <w:szCs w:val="32"/>
        </w:rPr>
        <w:t>月），直博生资格考核安排在入学后第五学期</w:t>
      </w:r>
      <w:r>
        <w:rPr>
          <w:rFonts w:hint="eastAsia" w:ascii="宋体" w:hAnsi="宋体" w:eastAsia="宋体" w:cs="宋体"/>
          <w:sz w:val="24"/>
          <w:szCs w:val="32"/>
          <w:lang w:eastAsia="zh-CN"/>
        </w:rPr>
        <w:t>末</w:t>
      </w:r>
      <w:r>
        <w:rPr>
          <w:rFonts w:hint="eastAsia" w:ascii="宋体" w:hAnsi="宋体" w:eastAsia="宋体" w:cs="宋体"/>
          <w:sz w:val="24"/>
          <w:szCs w:val="32"/>
        </w:rPr>
        <w:t>（</w:t>
      </w:r>
      <w:r>
        <w:rPr>
          <w:rFonts w:hint="eastAsia" w:ascii="宋体" w:hAnsi="宋体" w:eastAsia="宋体" w:cs="宋体"/>
          <w:sz w:val="24"/>
          <w:szCs w:val="32"/>
          <w:lang w:val="en-US" w:eastAsia="zh-CN"/>
        </w:rPr>
        <w:t>1</w:t>
      </w:r>
      <w:r>
        <w:rPr>
          <w:rFonts w:hint="eastAsia" w:ascii="宋体" w:hAnsi="宋体" w:eastAsia="宋体" w:cs="宋体"/>
          <w:sz w:val="24"/>
          <w:szCs w:val="32"/>
        </w:rPr>
        <w:t>月）。所有博士生必须参加资格考试，通过者准予继续进行博士学位论文研究工作。具体方案见《南京大学医学院博士研究生资格考核的规定》。</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每个博士生最多可参加三次资格考核（最多六年），对于六年内连续三次</w:t>
      </w:r>
      <w:r>
        <w:rPr>
          <w:rFonts w:hint="eastAsia" w:ascii="宋体" w:hAnsi="宋体" w:eastAsia="宋体" w:cs="宋体"/>
          <w:sz w:val="24"/>
          <w:szCs w:val="32"/>
          <w:lang w:eastAsia="zh-CN"/>
        </w:rPr>
        <w:t>暂缓</w:t>
      </w:r>
      <w:r>
        <w:rPr>
          <w:rFonts w:hint="eastAsia" w:ascii="宋体" w:hAnsi="宋体" w:eastAsia="宋体" w:cs="宋体"/>
          <w:sz w:val="24"/>
          <w:szCs w:val="32"/>
        </w:rPr>
        <w:t>通过，学校将视之为自动终止学业，取消学籍作肄业处理。</w:t>
      </w:r>
    </w:p>
    <w:p>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我院对于连续两次暂缓通过博士生资格考核的博士生将下达预警通知，告知其导师。</w:t>
      </w:r>
    </w:p>
    <w:p>
      <w:pPr>
        <w:spacing w:line="360" w:lineRule="auto"/>
        <w:ind w:firstLine="480" w:firstLineChars="200"/>
        <w:jc w:val="left"/>
        <w:rPr>
          <w:rFonts w:hint="eastAsia" w:ascii="宋体" w:hAnsi="宋体" w:eastAsia="宋体" w:cs="宋体"/>
          <w:sz w:val="24"/>
          <w:szCs w:val="32"/>
        </w:rPr>
      </w:pPr>
    </w:p>
    <w:p>
      <w:pPr>
        <w:spacing w:line="360" w:lineRule="auto"/>
        <w:jc w:val="left"/>
        <w:rPr>
          <w:rFonts w:ascii="宋体" w:hAnsi="宋体" w:eastAsia="宋体" w:cs="宋体"/>
          <w:sz w:val="24"/>
          <w:szCs w:val="32"/>
        </w:rPr>
      </w:pPr>
      <w:r>
        <w:rPr>
          <w:rFonts w:hint="eastAsia" w:ascii="宋体" w:hAnsi="宋体" w:eastAsia="宋体" w:cs="宋体"/>
          <w:sz w:val="24"/>
          <w:szCs w:val="32"/>
        </w:rPr>
        <w:t>2、开题报告（导师组织）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通过资格考核后</w:t>
      </w:r>
      <w:r>
        <w:rPr>
          <w:rFonts w:hint="eastAsia" w:ascii="宋体" w:hAnsi="宋体" w:eastAsia="宋体" w:cs="宋体"/>
          <w:sz w:val="24"/>
          <w:szCs w:val="32"/>
          <w:lang w:eastAsia="zh-CN"/>
        </w:rPr>
        <w:t>方可进入开题环节。</w:t>
      </w:r>
      <w:r>
        <w:rPr>
          <w:rFonts w:hint="eastAsia" w:ascii="宋体" w:hAnsi="宋体" w:eastAsia="宋体" w:cs="宋体"/>
          <w:sz w:val="24"/>
          <w:szCs w:val="32"/>
        </w:rPr>
        <w:t>通过资格考核后半年内，博士生须完成博士学位论文开题报告。有特殊情况的，提交延期申请批准后可顺延。开题报告由中文书面报告和口头报告两部分组成。博士生向本学科3</w:t>
      </w:r>
      <w:r>
        <w:rPr>
          <w:rFonts w:hint="eastAsia" w:ascii="宋体" w:hAnsi="宋体" w:eastAsia="宋体" w:cs="宋体"/>
          <w:sz w:val="24"/>
          <w:szCs w:val="32"/>
          <w:lang w:val="en-US" w:eastAsia="zh-CN"/>
        </w:rPr>
        <w:t>-</w:t>
      </w:r>
      <w:r>
        <w:rPr>
          <w:rFonts w:hint="eastAsia" w:ascii="宋体" w:hAnsi="宋体" w:eastAsia="宋体" w:cs="宋体"/>
          <w:sz w:val="24"/>
          <w:szCs w:val="32"/>
        </w:rPr>
        <w:t>5人专家小组汇报博士学位论文的选题依据、研究目的和意义、研究内容、研究方案和预期研究目标等，</w:t>
      </w:r>
      <w:r>
        <w:rPr>
          <w:rFonts w:hint="eastAsia" w:ascii="宋体" w:hAnsi="宋体" w:eastAsia="宋体" w:cs="宋体"/>
          <w:color w:val="000000" w:themeColor="text1"/>
          <w:sz w:val="24"/>
          <w:szCs w:val="32"/>
          <w14:textFill>
            <w14:solidFill>
              <w14:schemeClr w14:val="tx1"/>
            </w14:solidFill>
          </w14:textFill>
        </w:rPr>
        <w:t>口头报告的时间应不少于20分钟。书面报告的字数应不少于0.6万字，参考文献不少于50篇。</w:t>
      </w:r>
      <w:r>
        <w:rPr>
          <w:rFonts w:hint="eastAsia" w:ascii="宋体" w:hAnsi="宋体" w:eastAsia="宋体" w:cs="宋体"/>
          <w:sz w:val="24"/>
          <w:szCs w:val="32"/>
        </w:rPr>
        <w:t>专家小组签署评议意见后，送医学院研究生办公室备案。</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开题报告的内容与论文答辩的内容应保持一致，若攻博期间研究课题发生变更，需重新提交开题报告并送医学院研究生办公室备案。开题报告</w:t>
      </w:r>
      <w:r>
        <w:rPr>
          <w:rFonts w:hint="eastAsia" w:ascii="宋体" w:hAnsi="宋体" w:eastAsia="宋体" w:cs="宋体"/>
          <w:sz w:val="24"/>
          <w:szCs w:val="32"/>
          <w:lang w:eastAsia="zh-CN"/>
        </w:rPr>
        <w:t>提交</w:t>
      </w:r>
      <w:r>
        <w:rPr>
          <w:rFonts w:hint="eastAsia" w:ascii="宋体" w:hAnsi="宋体" w:eastAsia="宋体" w:cs="宋体"/>
          <w:sz w:val="24"/>
          <w:szCs w:val="32"/>
        </w:rPr>
        <w:t>满1年方可申请论文答辩。</w:t>
      </w:r>
    </w:p>
    <w:p>
      <w:pPr>
        <w:spacing w:line="360" w:lineRule="auto"/>
        <w:ind w:firstLine="480" w:firstLineChars="200"/>
        <w:jc w:val="left"/>
        <w:rPr>
          <w:rFonts w:ascii="宋体" w:hAnsi="宋体" w:eastAsia="宋体" w:cs="宋体"/>
          <w:sz w:val="24"/>
          <w:szCs w:val="32"/>
        </w:rPr>
      </w:pPr>
    </w:p>
    <w:p>
      <w:pPr>
        <w:spacing w:line="360" w:lineRule="auto"/>
        <w:jc w:val="left"/>
        <w:rPr>
          <w:rFonts w:ascii="宋体" w:hAnsi="宋体" w:eastAsia="宋体" w:cs="宋体"/>
          <w:sz w:val="24"/>
          <w:szCs w:val="32"/>
        </w:rPr>
      </w:pPr>
      <w:r>
        <w:rPr>
          <w:rFonts w:hint="eastAsia" w:ascii="宋体" w:hAnsi="宋体" w:eastAsia="宋体" w:cs="宋体"/>
          <w:sz w:val="24"/>
          <w:szCs w:val="32"/>
        </w:rPr>
        <w:t>3、中期考核（导师组织）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学位论文实行中期考核制度。开题报告提交半年以后，经导师同意可以申请进行中期考核，需提交</w:t>
      </w:r>
      <w:r>
        <w:rPr>
          <w:rFonts w:hint="eastAsia" w:ascii="宋体" w:hAnsi="宋体" w:eastAsia="宋体" w:cs="宋体"/>
          <w:color w:val="000000" w:themeColor="text1"/>
          <w:sz w:val="24"/>
          <w:szCs w:val="32"/>
          <w14:textFill>
            <w14:solidFill>
              <w14:schemeClr w14:val="tx1"/>
            </w14:solidFill>
          </w14:textFill>
        </w:rPr>
        <w:t>3000字</w:t>
      </w:r>
      <w:r>
        <w:rPr>
          <w:rFonts w:hint="eastAsia" w:ascii="宋体" w:hAnsi="宋体" w:eastAsia="宋体" w:cs="宋体"/>
          <w:sz w:val="24"/>
          <w:szCs w:val="32"/>
        </w:rPr>
        <w:t>的研究工作进展报告。本学科3</w:t>
      </w:r>
      <w:r>
        <w:rPr>
          <w:rFonts w:hint="eastAsia" w:ascii="宋体" w:hAnsi="宋体" w:eastAsia="宋体" w:cs="宋体"/>
          <w:sz w:val="24"/>
          <w:szCs w:val="32"/>
          <w:lang w:val="en-US" w:eastAsia="zh-CN"/>
        </w:rPr>
        <w:t>-</w:t>
      </w:r>
      <w:r>
        <w:rPr>
          <w:rFonts w:hint="eastAsia" w:ascii="宋体" w:hAnsi="宋体" w:eastAsia="宋体" w:cs="宋体"/>
          <w:sz w:val="24"/>
          <w:szCs w:val="32"/>
        </w:rPr>
        <w:t>5人专家小组听取论文工作进展汇报，汇报时间不少于20分钟，对博士生的综合能力以及工作态度等进行全方位的考查。专家小组签署评议意见后，送医学院研究生办公室备案。中期考核不通过者，不能进入博士论文答辩阶段。</w:t>
      </w:r>
    </w:p>
    <w:p>
      <w:pPr>
        <w:spacing w:line="360" w:lineRule="auto"/>
        <w:ind w:firstLine="480" w:firstLineChars="200"/>
        <w:jc w:val="left"/>
        <w:rPr>
          <w:rFonts w:ascii="宋体" w:hAnsi="宋体" w:eastAsia="宋体" w:cs="宋体"/>
          <w:sz w:val="24"/>
          <w:szCs w:val="32"/>
        </w:rPr>
      </w:pPr>
    </w:p>
    <w:p>
      <w:pPr>
        <w:spacing w:line="360" w:lineRule="auto"/>
        <w:jc w:val="left"/>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4、学术交流</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为了拓宽博士生的学术视野，加强其学术交流能力，规定如下：</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培养期内，直博生须参加15次以上学术报告，普通博士生须参加12次以上学术报告。参加国内外学术会议1天可折算成3次学术报告。每次学术活动应有不少于 500 字的小结（附照片），导师签字后，送医学院研究生办公室备案。学术交流不达标者，不能进入博士论文答辩阶段。</w:t>
      </w:r>
    </w:p>
    <w:p>
      <w:pPr>
        <w:spacing w:line="360" w:lineRule="auto"/>
        <w:ind w:firstLine="480" w:firstLineChars="200"/>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博士学位论文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博士学位论文是博士生科学研究工作的全面总结，是博士生培养质量和学术水平的集中反映，是申请和授予博士学位的基本依据。博士学位论文应在导师指导下由博士生独立完成。博士学位论文撰写是博士生培养过程的基本训练之一，必须按照规范认真执行，具体要求见《南京大学医学院博士学位论文撰写与印制要求》。</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申请博士学位的学位论文对所研究的课题应当有创造性的见解，在理论上或实际上对社会主义建设或本门学科发展应当有较大的意义，表明作者在本门学科上已经掌握坚实宽广的基础理论和系统深入的专门知识，具有独立从事科学研究工作的能力，在科学或专门技术上做出创造性的成果。</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学位论文必须在导师指导下由本人独立完成，并要有一定的工作量。学位论文必须是一篇或一组论文组成的系统而完整的学术论文，是博士生在博士学习阶段的科研工作。如果是硕士生学习阶段科研工作的继续和深入，其硕士学位论文的成果可以在博士学位论文中引用，但在博士阶段应有新的发展，做出创造性的成果。</w:t>
      </w:r>
    </w:p>
    <w:p>
      <w:pPr>
        <w:spacing w:line="360" w:lineRule="auto"/>
        <w:ind w:firstLine="480" w:firstLineChars="200"/>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论文答辩</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1、博士生学位论文完成后需提交3位本专业教授或博士生导师预审，博士生需根据预审专家的意见进行论文修改，导师对修改内容进行把关。如有预审专家对论文给出“不同意申请答辩”意见，学生需在导师指导下修改论文后送原专家再评审，直到专家给出“同意申请答辩”意见为止。</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2、开题报告提交满一年且预审通过的学位论文方可提交答辩申请，并参加学校的学位论文答辩前抽检盲审。抽检盲审具体要求见《南京大学关于博士学位论文抽检盲审的相关规定》。</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3、未被抽中参加盲审的博士学位论文的评阅，应由5名与论文有关学科的教授或相当专业技术职务的专家评阅，其中博士生导师至少3人、校外专家至少2人。</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4、规范预答辩环节。除导师外，学位论文预答辩至少有3位教授或博士生导师参加，预答辩不通过者不得申请答辩。博士生需根据预答辩委员会提出的意见进行论文修改，导师对修改内容进行把关。</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5、盲审或外审合格并且通过预答辩者，可领取表决票、安排答辩。</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6、博士学位论文答辩委员会由教授或相当专业技术职务的专家5人组成，其中博士生导师至少有3人，校外专家至少有2人。导师不参加答辩委员会。答辩秘书应具有讲师以上技术职务或博士学位。</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7、论文答辩其它要求见《南京大学医学院关于学位论文的评阅、评议及答辩的规定》。</w:t>
      </w:r>
    </w:p>
    <w:p>
      <w:pPr>
        <w:spacing w:line="360" w:lineRule="auto"/>
        <w:ind w:firstLine="240" w:firstLineChars="100"/>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学位申请</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博士研究生在申请博士学位时，应该有和博士学位论文相关的重点工作在国内外重要学术期刊发表。</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学位申请要求见《南京大学医学院四年制学术学位博士学位授予质量标准细则》。</w:t>
      </w:r>
    </w:p>
    <w:p>
      <w:pPr>
        <w:spacing w:line="360" w:lineRule="auto"/>
        <w:jc w:val="left"/>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（注：发表成果必须以南京大学医学院为第一作者单位且导师必须是通讯作者；申请学位发表文章必须见刊后方能拿到学位证书原件，未见刊前学位证书原件一律不外借。）</w:t>
      </w:r>
    </w:p>
    <w:p>
      <w:pPr>
        <w:spacing w:line="360" w:lineRule="auto"/>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攻读博士期间主要时间节点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spacing w:line="360" w:lineRule="auto"/>
              <w:jc w:val="center"/>
              <w:rPr>
                <w:rFonts w:ascii="宋体" w:hAnsi="宋体" w:eastAsia="宋体" w:cs="宋体"/>
                <w:b/>
                <w:bCs/>
                <w:sz w:val="24"/>
                <w:szCs w:val="32"/>
              </w:rPr>
            </w:pPr>
            <w:r>
              <w:rPr>
                <w:rFonts w:hint="eastAsia" w:ascii="宋体" w:hAnsi="宋体" w:eastAsia="宋体" w:cs="宋体"/>
                <w:b/>
                <w:bCs/>
                <w:sz w:val="24"/>
                <w:szCs w:val="32"/>
              </w:rPr>
              <w:t>事项</w:t>
            </w:r>
          </w:p>
        </w:tc>
        <w:tc>
          <w:tcPr>
            <w:tcW w:w="4678" w:type="dxa"/>
          </w:tcPr>
          <w:p>
            <w:pPr>
              <w:spacing w:line="360" w:lineRule="auto"/>
              <w:jc w:val="center"/>
              <w:rPr>
                <w:rFonts w:ascii="宋体" w:hAnsi="宋体" w:eastAsia="宋体" w:cs="宋体"/>
                <w:b/>
                <w:bCs/>
                <w:sz w:val="24"/>
                <w:szCs w:val="32"/>
              </w:rPr>
            </w:pPr>
            <w:r>
              <w:rPr>
                <w:rFonts w:hint="eastAsia" w:ascii="宋体" w:hAnsi="宋体" w:eastAsia="宋体" w:cs="宋体"/>
                <w:b/>
                <w:bCs/>
                <w:sz w:val="24"/>
                <w:szCs w:val="32"/>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spacing w:line="360" w:lineRule="auto"/>
              <w:jc w:val="center"/>
              <w:rPr>
                <w:rFonts w:ascii="宋体" w:hAnsi="宋体" w:eastAsia="宋体" w:cs="宋体"/>
                <w:sz w:val="24"/>
                <w:szCs w:val="32"/>
              </w:rPr>
            </w:pPr>
            <w:r>
              <w:rPr>
                <w:rFonts w:hint="eastAsia" w:ascii="宋体" w:hAnsi="宋体" w:eastAsia="宋体" w:cs="宋体"/>
                <w:sz w:val="24"/>
                <w:szCs w:val="32"/>
              </w:rPr>
              <w:t>入学报到</w:t>
            </w:r>
          </w:p>
        </w:tc>
        <w:tc>
          <w:tcPr>
            <w:tcW w:w="4678" w:type="dxa"/>
          </w:tcPr>
          <w:p>
            <w:pPr>
              <w:spacing w:line="360" w:lineRule="auto"/>
              <w:jc w:val="center"/>
              <w:rPr>
                <w:rFonts w:ascii="宋体" w:hAnsi="宋体" w:eastAsia="宋体" w:cs="宋体"/>
                <w:sz w:val="24"/>
                <w:szCs w:val="32"/>
              </w:rPr>
            </w:pPr>
            <w:r>
              <w:rPr>
                <w:rFonts w:hint="eastAsia" w:ascii="宋体" w:hAnsi="宋体" w:eastAsia="宋体" w:cs="宋体"/>
                <w:sz w:val="24"/>
                <w:szCs w:val="32"/>
              </w:rPr>
              <w:t>每年9月（详见录取通知书）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spacing w:line="360" w:lineRule="auto"/>
              <w:jc w:val="center"/>
              <w:rPr>
                <w:rFonts w:ascii="宋体" w:hAnsi="宋体" w:eastAsia="宋体" w:cs="宋体"/>
                <w:sz w:val="24"/>
                <w:szCs w:val="32"/>
              </w:rPr>
            </w:pPr>
            <w:r>
              <w:rPr>
                <w:rFonts w:hint="eastAsia" w:ascii="宋体" w:hAnsi="宋体" w:eastAsia="宋体" w:cs="宋体"/>
                <w:sz w:val="24"/>
                <w:szCs w:val="32"/>
              </w:rPr>
              <w:t xml:space="preserve"> 博士资格考核</w:t>
            </w:r>
          </w:p>
        </w:tc>
        <w:tc>
          <w:tcPr>
            <w:tcW w:w="4678" w:type="dxa"/>
          </w:tcPr>
          <w:p>
            <w:pPr>
              <w:spacing w:line="360" w:lineRule="auto"/>
              <w:jc w:val="center"/>
              <w:rPr>
                <w:rFonts w:ascii="宋体" w:hAnsi="宋体" w:eastAsia="宋体" w:cs="宋体"/>
                <w:sz w:val="24"/>
                <w:szCs w:val="32"/>
              </w:rPr>
            </w:pPr>
            <w:r>
              <w:rPr>
                <w:rFonts w:hint="eastAsia" w:ascii="宋体" w:hAnsi="宋体" w:eastAsia="宋体" w:cs="宋体"/>
                <w:sz w:val="24"/>
                <w:szCs w:val="32"/>
              </w:rPr>
              <w:t>普通博士生：第三学期</w:t>
            </w:r>
            <w:r>
              <w:rPr>
                <w:rFonts w:hint="eastAsia" w:ascii="宋体" w:hAnsi="宋体" w:eastAsia="宋体" w:cs="宋体"/>
                <w:sz w:val="24"/>
                <w:szCs w:val="32"/>
                <w:lang w:eastAsia="zh-CN"/>
              </w:rPr>
              <w:t>末</w:t>
            </w:r>
            <w:r>
              <w:rPr>
                <w:rFonts w:hint="eastAsia" w:ascii="宋体" w:hAnsi="宋体" w:eastAsia="宋体" w:cs="宋体"/>
                <w:sz w:val="24"/>
                <w:szCs w:val="32"/>
              </w:rPr>
              <w:t>（1月）</w:t>
            </w:r>
          </w:p>
          <w:p>
            <w:pPr>
              <w:spacing w:line="360" w:lineRule="auto"/>
              <w:jc w:val="center"/>
              <w:rPr>
                <w:rFonts w:ascii="宋体" w:hAnsi="宋体" w:eastAsia="宋体" w:cs="宋体"/>
                <w:sz w:val="24"/>
                <w:szCs w:val="32"/>
              </w:rPr>
            </w:pPr>
            <w:r>
              <w:rPr>
                <w:rFonts w:hint="eastAsia" w:ascii="宋体" w:hAnsi="宋体" w:eastAsia="宋体" w:cs="宋体"/>
                <w:sz w:val="24"/>
                <w:szCs w:val="32"/>
              </w:rPr>
              <w:t>直博生：第五学期</w:t>
            </w:r>
            <w:r>
              <w:rPr>
                <w:rFonts w:hint="eastAsia" w:ascii="宋体" w:hAnsi="宋体" w:eastAsia="宋体" w:cs="宋体"/>
                <w:sz w:val="24"/>
                <w:szCs w:val="32"/>
                <w:lang w:eastAsia="zh-CN"/>
              </w:rPr>
              <w:t>末</w:t>
            </w:r>
            <w:r>
              <w:rPr>
                <w:rFonts w:hint="eastAsia" w:ascii="宋体" w:hAnsi="宋体" w:eastAsia="宋体" w:cs="宋体"/>
                <w:sz w:val="24"/>
                <w:szCs w:val="32"/>
              </w:rPr>
              <w:t>（1月）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spacing w:line="360" w:lineRule="auto"/>
              <w:jc w:val="center"/>
              <w:rPr>
                <w:rFonts w:ascii="宋体" w:hAnsi="宋体" w:eastAsia="宋体" w:cs="宋体"/>
                <w:sz w:val="24"/>
                <w:szCs w:val="32"/>
              </w:rPr>
            </w:pPr>
            <w:r>
              <w:rPr>
                <w:rFonts w:hint="eastAsia" w:ascii="宋体" w:hAnsi="宋体" w:eastAsia="宋体" w:cs="宋体"/>
                <w:sz w:val="24"/>
                <w:szCs w:val="32"/>
              </w:rPr>
              <w:t>开题报告</w:t>
            </w:r>
          </w:p>
        </w:tc>
        <w:tc>
          <w:tcPr>
            <w:tcW w:w="4678" w:type="dxa"/>
          </w:tcPr>
          <w:p>
            <w:pPr>
              <w:spacing w:line="360" w:lineRule="auto"/>
              <w:jc w:val="center"/>
              <w:rPr>
                <w:rFonts w:ascii="宋体" w:hAnsi="宋体" w:eastAsia="宋体" w:cs="宋体"/>
                <w:sz w:val="24"/>
                <w:szCs w:val="32"/>
              </w:rPr>
            </w:pPr>
            <w:r>
              <w:rPr>
                <w:rFonts w:hint="eastAsia" w:ascii="宋体" w:hAnsi="宋体" w:eastAsia="宋体" w:cs="宋体"/>
                <w:sz w:val="24"/>
                <w:szCs w:val="32"/>
              </w:rPr>
              <w:t>通过博资考后半年内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spacing w:line="360" w:lineRule="auto"/>
              <w:jc w:val="center"/>
              <w:rPr>
                <w:rFonts w:ascii="宋体" w:hAnsi="宋体" w:eastAsia="宋体" w:cs="宋体"/>
                <w:sz w:val="24"/>
                <w:szCs w:val="32"/>
              </w:rPr>
            </w:pPr>
            <w:r>
              <w:rPr>
                <w:rFonts w:hint="eastAsia" w:ascii="宋体" w:hAnsi="宋体" w:eastAsia="宋体" w:cs="宋体"/>
                <w:sz w:val="24"/>
                <w:szCs w:val="32"/>
              </w:rPr>
              <w:t>中期考核</w:t>
            </w:r>
          </w:p>
        </w:tc>
        <w:tc>
          <w:tcPr>
            <w:tcW w:w="4678" w:type="dxa"/>
          </w:tcPr>
          <w:p>
            <w:pPr>
              <w:spacing w:line="360" w:lineRule="auto"/>
              <w:jc w:val="center"/>
              <w:rPr>
                <w:rFonts w:ascii="宋体" w:hAnsi="宋体" w:eastAsia="宋体" w:cs="宋体"/>
                <w:sz w:val="24"/>
                <w:szCs w:val="32"/>
              </w:rPr>
            </w:pPr>
            <w:r>
              <w:rPr>
                <w:rFonts w:hint="eastAsia" w:ascii="宋体" w:hAnsi="宋体" w:eastAsia="宋体" w:cs="宋体"/>
                <w:sz w:val="24"/>
                <w:szCs w:val="32"/>
              </w:rPr>
              <w:t>普通博士生：第五学期</w:t>
            </w:r>
            <w:r>
              <w:rPr>
                <w:rFonts w:hint="eastAsia" w:ascii="宋体" w:hAnsi="宋体" w:eastAsia="宋体" w:cs="宋体"/>
                <w:sz w:val="24"/>
                <w:szCs w:val="32"/>
                <w:lang w:eastAsia="zh-CN"/>
              </w:rPr>
              <w:t>末</w:t>
            </w:r>
            <w:r>
              <w:rPr>
                <w:rFonts w:hint="eastAsia" w:ascii="宋体" w:hAnsi="宋体" w:eastAsia="宋体" w:cs="宋体"/>
                <w:sz w:val="24"/>
                <w:szCs w:val="32"/>
              </w:rPr>
              <w:t>（1月）</w:t>
            </w:r>
          </w:p>
          <w:p>
            <w:pPr>
              <w:spacing w:line="360" w:lineRule="auto"/>
              <w:jc w:val="center"/>
              <w:rPr>
                <w:rFonts w:ascii="宋体" w:hAnsi="宋体" w:eastAsia="宋体" w:cs="宋体"/>
                <w:sz w:val="24"/>
                <w:szCs w:val="32"/>
              </w:rPr>
            </w:pPr>
            <w:r>
              <w:rPr>
                <w:rFonts w:hint="eastAsia" w:ascii="宋体" w:hAnsi="宋体" w:eastAsia="宋体" w:cs="宋体"/>
                <w:sz w:val="24"/>
                <w:szCs w:val="32"/>
              </w:rPr>
              <w:t>直博生：第七学期</w:t>
            </w:r>
            <w:r>
              <w:rPr>
                <w:rFonts w:hint="eastAsia" w:ascii="宋体" w:hAnsi="宋体" w:eastAsia="宋体" w:cs="宋体"/>
                <w:sz w:val="24"/>
                <w:szCs w:val="32"/>
                <w:lang w:eastAsia="zh-CN"/>
              </w:rPr>
              <w:t>末</w:t>
            </w:r>
            <w:r>
              <w:rPr>
                <w:rFonts w:hint="eastAsia" w:ascii="宋体" w:hAnsi="宋体" w:eastAsia="宋体" w:cs="宋体"/>
                <w:sz w:val="24"/>
                <w:szCs w:val="32"/>
              </w:rPr>
              <w:t>（1月）</w:t>
            </w:r>
          </w:p>
        </w:tc>
      </w:tr>
    </w:tbl>
    <w:p>
      <w:pPr>
        <w:spacing w:line="360" w:lineRule="auto"/>
        <w:jc w:val="left"/>
        <w:rPr>
          <w:rFonts w:hint="eastAsia" w:ascii="宋体" w:hAnsi="宋体" w:eastAsia="宋体" w:cs="宋体"/>
          <w:b/>
          <w:bCs/>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 xml:space="preserve">附录：基础医学（100100）课程设置 </w:t>
      </w:r>
    </w:p>
    <w:p>
      <w:pPr>
        <w:spacing w:line="360" w:lineRule="auto"/>
        <w:jc w:val="left"/>
        <w:rPr>
          <w:rFonts w:ascii="宋体" w:hAnsi="宋体" w:eastAsia="宋体" w:cs="宋体"/>
          <w:b/>
          <w:bCs/>
          <w:sz w:val="24"/>
          <w:szCs w:val="32"/>
        </w:rPr>
      </w:pPr>
      <w:bookmarkStart w:id="1" w:name="_Hlk42206069"/>
      <w:r>
        <w:rPr>
          <w:rFonts w:hint="eastAsia" w:ascii="宋体" w:hAnsi="宋体" w:eastAsia="宋体" w:cs="宋体"/>
          <w:b/>
          <w:bCs/>
          <w:sz w:val="24"/>
          <w:szCs w:val="32"/>
        </w:rPr>
        <w:t xml:space="preserve">一、普通博士生课程设置及要求 </w:t>
      </w:r>
    </w:p>
    <w:bookmarkEnd w:id="1"/>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攻读博士学位期间，需选修公共必修课程2门，分别为博士生英语</w:t>
      </w:r>
      <w:r>
        <w:rPr>
          <w:rFonts w:hint="eastAsia" w:ascii="宋体" w:hAnsi="宋体" w:eastAsia="宋体" w:cs="宋体"/>
          <w:sz w:val="24"/>
          <w:szCs w:val="32"/>
          <w:lang w:eastAsia="zh-CN"/>
        </w:rPr>
        <w:t>课程</w:t>
      </w:r>
      <w:r>
        <w:rPr>
          <w:rFonts w:hint="eastAsia" w:ascii="宋体" w:hAnsi="宋体" w:eastAsia="宋体" w:cs="宋体"/>
          <w:sz w:val="24"/>
          <w:szCs w:val="32"/>
        </w:rPr>
        <w:t>（包括博士生学术交流英语、博士生英语听力/口语）和博士生政治</w:t>
      </w:r>
      <w:r>
        <w:rPr>
          <w:rFonts w:hint="eastAsia" w:ascii="宋体" w:hAnsi="宋体" w:eastAsia="宋体" w:cs="宋体"/>
          <w:sz w:val="24"/>
          <w:szCs w:val="32"/>
          <w:lang w:eastAsia="zh-CN"/>
        </w:rPr>
        <w:t>课程</w:t>
      </w:r>
      <w:r>
        <w:rPr>
          <w:rFonts w:hint="eastAsia" w:ascii="宋体" w:hAnsi="宋体" w:eastAsia="宋体" w:cs="宋体"/>
          <w:sz w:val="24"/>
          <w:szCs w:val="32"/>
        </w:rPr>
        <w:t>（中国马克思主义与当代），院系必修课程1门（生物医学仪器分析）与专业学位课程1-3门，其中导师讲授课程限1门。</w:t>
      </w:r>
    </w:p>
    <w:p>
      <w:pPr>
        <w:spacing w:line="360" w:lineRule="auto"/>
        <w:jc w:val="left"/>
        <w:rPr>
          <w:rFonts w:ascii="宋体" w:hAnsi="宋体" w:eastAsia="宋体" w:cs="宋体"/>
          <w:sz w:val="24"/>
          <w:szCs w:val="32"/>
        </w:rPr>
      </w:pPr>
      <w:r>
        <w:rPr>
          <w:rFonts w:hint="eastAsia" w:ascii="宋体" w:hAnsi="宋体" w:eastAsia="宋体" w:cs="宋体"/>
          <w:sz w:val="24"/>
          <w:szCs w:val="32"/>
        </w:rPr>
        <w:t>课程设置如下：</w:t>
      </w:r>
    </w:p>
    <w:p>
      <w:pPr>
        <w:pStyle w:val="7"/>
        <w:numPr>
          <w:ilvl w:val="0"/>
          <w:numId w:val="2"/>
        </w:numPr>
        <w:spacing w:line="360" w:lineRule="auto"/>
        <w:ind w:firstLineChars="0"/>
        <w:jc w:val="left"/>
        <w:rPr>
          <w:rFonts w:ascii="宋体" w:hAnsi="宋体" w:eastAsia="宋体" w:cs="宋体"/>
          <w:sz w:val="24"/>
          <w:szCs w:val="32"/>
        </w:rPr>
      </w:pPr>
      <w:r>
        <w:rPr>
          <w:rFonts w:hint="eastAsia" w:ascii="宋体" w:hAnsi="宋体" w:eastAsia="宋体" w:cs="宋体"/>
          <w:sz w:val="24"/>
          <w:szCs w:val="32"/>
        </w:rPr>
        <w:t>公共必修课程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60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spacing w:line="360" w:lineRule="auto"/>
              <w:jc w:val="center"/>
              <w:rPr>
                <w:rFonts w:ascii="宋体" w:hAnsi="宋体" w:cs="宋体"/>
                <w:sz w:val="24"/>
                <w:szCs w:val="32"/>
              </w:rPr>
            </w:pPr>
            <w:r>
              <w:rPr>
                <w:rFonts w:hint="eastAsia" w:ascii="宋体" w:hAnsi="宋体" w:cs="宋体"/>
                <w:sz w:val="24"/>
                <w:szCs w:val="32"/>
              </w:rPr>
              <w:t>课程名称</w:t>
            </w:r>
          </w:p>
        </w:tc>
        <w:tc>
          <w:tcPr>
            <w:tcW w:w="1600" w:type="dxa"/>
          </w:tcPr>
          <w:p>
            <w:pPr>
              <w:spacing w:line="360" w:lineRule="auto"/>
              <w:jc w:val="center"/>
              <w:rPr>
                <w:rFonts w:ascii="宋体" w:hAnsi="宋体" w:cs="宋体"/>
                <w:sz w:val="24"/>
                <w:szCs w:val="32"/>
              </w:rPr>
            </w:pPr>
            <w:r>
              <w:rPr>
                <w:rFonts w:hint="eastAsia" w:ascii="宋体" w:hAnsi="宋体" w:cs="宋体"/>
                <w:sz w:val="24"/>
                <w:szCs w:val="32"/>
              </w:rPr>
              <w:t>课程编号</w:t>
            </w:r>
          </w:p>
        </w:tc>
        <w:tc>
          <w:tcPr>
            <w:tcW w:w="1235" w:type="dxa"/>
          </w:tcPr>
          <w:p>
            <w:pPr>
              <w:spacing w:line="360" w:lineRule="auto"/>
              <w:jc w:val="center"/>
              <w:rPr>
                <w:rFonts w:ascii="宋体" w:hAnsi="宋体" w:cs="宋体"/>
                <w:sz w:val="24"/>
                <w:szCs w:val="32"/>
              </w:rPr>
            </w:pPr>
            <w:r>
              <w:rPr>
                <w:rFonts w:hint="eastAsia" w:ascii="宋体" w:hAnsi="宋体" w:cs="宋体"/>
                <w:sz w:val="24"/>
                <w:szCs w:val="32"/>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spacing w:line="360" w:lineRule="auto"/>
              <w:jc w:val="center"/>
              <w:rPr>
                <w:rFonts w:ascii="宋体" w:hAnsi="宋体" w:cs="宋体"/>
                <w:sz w:val="24"/>
                <w:szCs w:val="32"/>
              </w:rPr>
            </w:pPr>
            <w:r>
              <w:rPr>
                <w:rFonts w:ascii="宋体" w:hAnsi="宋体" w:cs="宋体"/>
                <w:sz w:val="24"/>
                <w:szCs w:val="32"/>
              </w:rPr>
              <w:t>马克思主义与</w:t>
            </w:r>
            <w:r>
              <w:rPr>
                <w:rFonts w:hint="eastAsia" w:ascii="宋体" w:hAnsi="宋体" w:cs="宋体"/>
                <w:sz w:val="24"/>
                <w:szCs w:val="32"/>
              </w:rPr>
              <w:t>当代中国</w:t>
            </w:r>
          </w:p>
        </w:tc>
        <w:tc>
          <w:tcPr>
            <w:tcW w:w="1600" w:type="dxa"/>
          </w:tcPr>
          <w:p>
            <w:pPr>
              <w:spacing w:line="360" w:lineRule="auto"/>
              <w:jc w:val="center"/>
              <w:rPr>
                <w:rFonts w:ascii="宋体" w:hAnsi="宋体" w:cs="宋体"/>
                <w:sz w:val="24"/>
                <w:szCs w:val="32"/>
              </w:rPr>
            </w:pPr>
            <w:r>
              <w:rPr>
                <w:rFonts w:ascii="宋体" w:hAnsi="宋体" w:cs="宋体"/>
                <w:sz w:val="24"/>
                <w:szCs w:val="32"/>
              </w:rPr>
              <w:t>10284X002</w:t>
            </w:r>
          </w:p>
        </w:tc>
        <w:tc>
          <w:tcPr>
            <w:tcW w:w="1235" w:type="dxa"/>
          </w:tcPr>
          <w:p>
            <w:pPr>
              <w:spacing w:line="360" w:lineRule="auto"/>
              <w:jc w:val="center"/>
              <w:rPr>
                <w:rFonts w:ascii="宋体" w:hAnsi="宋体" w:cs="宋体"/>
                <w:sz w:val="24"/>
                <w:szCs w:val="32"/>
              </w:rPr>
            </w:pPr>
            <w:r>
              <w:rPr>
                <w:rFonts w:hint="eastAsia" w:ascii="宋体" w:hAnsi="宋体" w:cs="宋体"/>
                <w:sz w:val="24"/>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spacing w:line="360" w:lineRule="auto"/>
              <w:jc w:val="center"/>
              <w:rPr>
                <w:rFonts w:ascii="宋体" w:hAnsi="宋体" w:cs="宋体"/>
                <w:sz w:val="24"/>
                <w:szCs w:val="32"/>
              </w:rPr>
            </w:pPr>
            <w:r>
              <w:rPr>
                <w:rFonts w:hint="eastAsia" w:ascii="宋体" w:hAnsi="宋体" w:cs="宋体"/>
                <w:sz w:val="24"/>
                <w:szCs w:val="32"/>
              </w:rPr>
              <w:t>博士生学术交流英语</w:t>
            </w:r>
          </w:p>
        </w:tc>
        <w:tc>
          <w:tcPr>
            <w:tcW w:w="1600" w:type="dxa"/>
          </w:tcPr>
          <w:p>
            <w:pPr>
              <w:spacing w:line="360" w:lineRule="auto"/>
              <w:jc w:val="center"/>
              <w:rPr>
                <w:rFonts w:ascii="宋体" w:hAnsi="宋体" w:cs="宋体"/>
                <w:sz w:val="24"/>
                <w:szCs w:val="32"/>
              </w:rPr>
            </w:pPr>
            <w:r>
              <w:rPr>
                <w:rFonts w:ascii="宋体" w:hAnsi="宋体" w:cs="宋体"/>
                <w:sz w:val="24"/>
                <w:szCs w:val="32"/>
              </w:rPr>
              <w:t>10284X003</w:t>
            </w:r>
          </w:p>
        </w:tc>
        <w:tc>
          <w:tcPr>
            <w:tcW w:w="1235" w:type="dxa"/>
          </w:tcPr>
          <w:p>
            <w:pPr>
              <w:spacing w:line="360" w:lineRule="auto"/>
              <w:jc w:val="center"/>
              <w:rPr>
                <w:rFonts w:ascii="宋体" w:hAnsi="宋体" w:cs="宋体"/>
                <w:sz w:val="24"/>
                <w:szCs w:val="32"/>
              </w:rPr>
            </w:pPr>
            <w:r>
              <w:rPr>
                <w:rFonts w:hint="eastAsia" w:ascii="宋体" w:hAnsi="宋体" w:cs="宋体"/>
                <w:sz w:val="24"/>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spacing w:line="360" w:lineRule="auto"/>
              <w:jc w:val="center"/>
              <w:rPr>
                <w:rFonts w:ascii="宋体" w:hAnsi="宋体" w:cs="宋体"/>
                <w:sz w:val="24"/>
                <w:szCs w:val="32"/>
              </w:rPr>
            </w:pPr>
            <w:r>
              <w:rPr>
                <w:rFonts w:hint="eastAsia" w:ascii="宋体" w:hAnsi="宋体" w:cs="宋体"/>
                <w:sz w:val="24"/>
                <w:szCs w:val="32"/>
              </w:rPr>
              <w:t>博士生英语口语/听力</w:t>
            </w:r>
          </w:p>
        </w:tc>
        <w:tc>
          <w:tcPr>
            <w:tcW w:w="1600" w:type="dxa"/>
          </w:tcPr>
          <w:p>
            <w:pPr>
              <w:spacing w:line="360" w:lineRule="auto"/>
              <w:jc w:val="center"/>
              <w:rPr>
                <w:rFonts w:ascii="宋体" w:hAnsi="宋体" w:cs="宋体"/>
                <w:sz w:val="24"/>
                <w:szCs w:val="32"/>
              </w:rPr>
            </w:pPr>
            <w:r>
              <w:rPr>
                <w:rFonts w:ascii="宋体" w:hAnsi="宋体" w:cs="宋体"/>
                <w:sz w:val="24"/>
                <w:szCs w:val="32"/>
              </w:rPr>
              <w:t>10284X003</w:t>
            </w:r>
          </w:p>
        </w:tc>
        <w:tc>
          <w:tcPr>
            <w:tcW w:w="1235" w:type="dxa"/>
          </w:tcPr>
          <w:p>
            <w:pPr>
              <w:spacing w:line="360" w:lineRule="auto"/>
              <w:jc w:val="center"/>
              <w:rPr>
                <w:rFonts w:ascii="宋体" w:hAnsi="宋体" w:cs="宋体"/>
                <w:sz w:val="24"/>
                <w:szCs w:val="32"/>
              </w:rPr>
            </w:pPr>
            <w:r>
              <w:rPr>
                <w:rFonts w:hint="eastAsia" w:ascii="宋体" w:hAnsi="宋体" w:cs="宋体"/>
                <w:sz w:val="24"/>
                <w:szCs w:val="32"/>
              </w:rPr>
              <w:t>2</w:t>
            </w:r>
          </w:p>
        </w:tc>
      </w:tr>
    </w:tbl>
    <w:p>
      <w:pPr>
        <w:spacing w:line="360" w:lineRule="auto"/>
        <w:jc w:val="left"/>
        <w:rPr>
          <w:rFonts w:ascii="宋体" w:hAnsi="宋体" w:eastAsia="宋体" w:cs="宋体"/>
          <w:sz w:val="24"/>
          <w:szCs w:val="32"/>
        </w:rPr>
      </w:pPr>
    </w:p>
    <w:p>
      <w:pPr>
        <w:pStyle w:val="7"/>
        <w:numPr>
          <w:ilvl w:val="0"/>
          <w:numId w:val="2"/>
        </w:numPr>
        <w:spacing w:line="360" w:lineRule="auto"/>
        <w:ind w:firstLineChars="0"/>
        <w:jc w:val="left"/>
        <w:rPr>
          <w:rFonts w:ascii="宋体" w:hAnsi="宋体" w:eastAsia="宋体" w:cs="宋体"/>
          <w:sz w:val="24"/>
          <w:szCs w:val="32"/>
        </w:rPr>
      </w:pPr>
      <w:r>
        <w:rPr>
          <w:rFonts w:hint="eastAsia" w:ascii="宋体" w:hAnsi="宋体" w:eastAsia="宋体" w:cs="宋体"/>
          <w:sz w:val="24"/>
          <w:szCs w:val="32"/>
        </w:rPr>
        <w:t>院系必修课程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60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spacing w:line="360" w:lineRule="auto"/>
              <w:jc w:val="center"/>
              <w:rPr>
                <w:rFonts w:ascii="宋体" w:hAnsi="宋体" w:cs="宋体"/>
                <w:sz w:val="24"/>
                <w:szCs w:val="32"/>
              </w:rPr>
            </w:pPr>
            <w:r>
              <w:rPr>
                <w:rFonts w:hint="eastAsia" w:ascii="宋体" w:hAnsi="宋体" w:cs="宋体"/>
                <w:sz w:val="24"/>
                <w:szCs w:val="32"/>
              </w:rPr>
              <w:t>课程名称</w:t>
            </w:r>
          </w:p>
        </w:tc>
        <w:tc>
          <w:tcPr>
            <w:tcW w:w="1600" w:type="dxa"/>
          </w:tcPr>
          <w:p>
            <w:pPr>
              <w:spacing w:line="360" w:lineRule="auto"/>
              <w:jc w:val="center"/>
              <w:rPr>
                <w:rFonts w:ascii="宋体" w:hAnsi="宋体" w:cs="宋体"/>
                <w:sz w:val="24"/>
                <w:szCs w:val="32"/>
              </w:rPr>
            </w:pPr>
            <w:r>
              <w:rPr>
                <w:rFonts w:hint="eastAsia" w:ascii="宋体" w:hAnsi="宋体" w:cs="宋体"/>
                <w:sz w:val="24"/>
                <w:szCs w:val="32"/>
              </w:rPr>
              <w:t>课程编号</w:t>
            </w:r>
          </w:p>
        </w:tc>
        <w:tc>
          <w:tcPr>
            <w:tcW w:w="1235" w:type="dxa"/>
          </w:tcPr>
          <w:p>
            <w:pPr>
              <w:spacing w:line="360" w:lineRule="auto"/>
              <w:jc w:val="center"/>
              <w:rPr>
                <w:rFonts w:ascii="宋体" w:hAnsi="宋体" w:cs="宋体"/>
                <w:sz w:val="24"/>
                <w:szCs w:val="32"/>
              </w:rPr>
            </w:pPr>
            <w:r>
              <w:rPr>
                <w:rFonts w:hint="eastAsia" w:ascii="宋体" w:hAnsi="宋体" w:cs="宋体"/>
                <w:sz w:val="24"/>
                <w:szCs w:val="32"/>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tcPr>
          <w:p>
            <w:pPr>
              <w:spacing w:line="360" w:lineRule="auto"/>
              <w:jc w:val="center"/>
              <w:rPr>
                <w:rFonts w:ascii="宋体" w:hAnsi="宋体" w:cs="宋体"/>
                <w:sz w:val="24"/>
                <w:szCs w:val="32"/>
              </w:rPr>
            </w:pPr>
            <w:r>
              <w:rPr>
                <w:rFonts w:hint="eastAsia" w:ascii="宋体" w:hAnsi="宋体" w:cs="宋体"/>
                <w:sz w:val="24"/>
                <w:szCs w:val="32"/>
              </w:rPr>
              <w:t>生物医学仪器分析</w:t>
            </w:r>
          </w:p>
        </w:tc>
        <w:tc>
          <w:tcPr>
            <w:tcW w:w="1600" w:type="dxa"/>
          </w:tcPr>
          <w:p>
            <w:pPr>
              <w:spacing w:line="360" w:lineRule="auto"/>
              <w:jc w:val="center"/>
              <w:rPr>
                <w:rFonts w:hint="default" w:ascii="宋体" w:hAnsi="宋体" w:cs="宋体" w:eastAsiaTheme="minorEastAsia"/>
                <w:sz w:val="24"/>
                <w:szCs w:val="32"/>
                <w:lang w:val="en-US" w:eastAsia="zh-CN"/>
              </w:rPr>
            </w:pPr>
            <w:r>
              <w:rPr>
                <w:rFonts w:hint="eastAsia" w:ascii="宋体" w:hAnsi="宋体" w:cs="宋体"/>
                <w:sz w:val="24"/>
                <w:szCs w:val="32"/>
                <w:lang w:val="en-US" w:eastAsia="zh-CN"/>
              </w:rPr>
              <w:t>1001C31</w:t>
            </w:r>
          </w:p>
        </w:tc>
        <w:tc>
          <w:tcPr>
            <w:tcW w:w="1235" w:type="dxa"/>
          </w:tcPr>
          <w:p>
            <w:pPr>
              <w:spacing w:line="360" w:lineRule="auto"/>
              <w:jc w:val="center"/>
              <w:rPr>
                <w:rFonts w:ascii="宋体" w:hAnsi="宋体" w:cs="宋体"/>
                <w:sz w:val="24"/>
                <w:szCs w:val="32"/>
              </w:rPr>
            </w:pPr>
            <w:r>
              <w:rPr>
                <w:rFonts w:hint="eastAsia" w:ascii="宋体" w:hAnsi="宋体" w:cs="宋体"/>
                <w:sz w:val="24"/>
                <w:szCs w:val="32"/>
              </w:rPr>
              <w:t>2</w:t>
            </w:r>
          </w:p>
        </w:tc>
      </w:tr>
    </w:tbl>
    <w:p>
      <w:pPr>
        <w:spacing w:line="360" w:lineRule="auto"/>
        <w:jc w:val="left"/>
        <w:rPr>
          <w:rFonts w:ascii="宋体" w:hAnsi="宋体" w:eastAsia="宋体" w:cs="宋体"/>
          <w:sz w:val="24"/>
          <w:szCs w:val="32"/>
        </w:rPr>
      </w:pPr>
    </w:p>
    <w:p>
      <w:pPr>
        <w:pStyle w:val="7"/>
        <w:numPr>
          <w:ilvl w:val="0"/>
          <w:numId w:val="2"/>
        </w:numPr>
        <w:spacing w:line="360" w:lineRule="auto"/>
        <w:ind w:firstLineChars="0"/>
        <w:jc w:val="left"/>
        <w:rPr>
          <w:rFonts w:ascii="宋体" w:hAnsi="宋体" w:eastAsia="宋体" w:cs="宋体"/>
          <w:sz w:val="24"/>
          <w:szCs w:val="32"/>
        </w:rPr>
      </w:pPr>
      <w:r>
        <w:rPr>
          <w:rFonts w:hint="eastAsia" w:ascii="宋体" w:hAnsi="宋体" w:eastAsia="宋体" w:cs="宋体"/>
          <w:sz w:val="24"/>
          <w:szCs w:val="32"/>
        </w:rPr>
        <w:t>专业学位课程：见课程附件</w:t>
      </w:r>
    </w:p>
    <w:p>
      <w:pPr>
        <w:spacing w:line="360" w:lineRule="auto"/>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二、直博生课程设置及要求</w:t>
      </w:r>
    </w:p>
    <w:p>
      <w:pPr>
        <w:spacing w:line="360" w:lineRule="auto"/>
        <w:ind w:firstLine="480" w:firstLineChars="200"/>
        <w:jc w:val="left"/>
        <w:rPr>
          <w:rFonts w:hint="eastAsia" w:ascii="宋体" w:hAnsi="宋体" w:eastAsia="宋体" w:cs="宋体"/>
          <w:sz w:val="24"/>
          <w:szCs w:val="32"/>
        </w:rPr>
      </w:pPr>
      <w:r>
        <w:rPr>
          <w:rFonts w:hint="eastAsia" w:ascii="宋体" w:hAnsi="宋体" w:eastAsia="宋体" w:cs="宋体"/>
          <w:sz w:val="24"/>
          <w:szCs w:val="32"/>
        </w:rPr>
        <w:t>攻读博士学位期间，需</w:t>
      </w:r>
      <w:r>
        <w:rPr>
          <w:rFonts w:hint="eastAsia" w:ascii="宋体" w:hAnsi="宋体" w:eastAsia="宋体" w:cs="宋体"/>
          <w:sz w:val="24"/>
          <w:szCs w:val="32"/>
          <w:lang w:eastAsia="zh-CN"/>
        </w:rPr>
        <w:t>选修</w:t>
      </w:r>
      <w:r>
        <w:rPr>
          <w:rFonts w:hint="eastAsia" w:ascii="宋体" w:hAnsi="宋体" w:eastAsia="宋体" w:cs="宋体"/>
          <w:sz w:val="24"/>
          <w:szCs w:val="32"/>
        </w:rPr>
        <w:t>3门政治课程（中国特色社会主义理论与实践、自然辩证法概论/马克思主义与社会科学方法论/马克思主义原著选读、中国马克思主义与当代）和博士生英语课程（包括博士生学术交流英语、博士生英语听力/口语）</w:t>
      </w:r>
      <w:r>
        <w:rPr>
          <w:rFonts w:hint="eastAsia" w:ascii="宋体" w:hAnsi="宋体" w:eastAsia="宋体" w:cs="宋体"/>
          <w:sz w:val="24"/>
          <w:szCs w:val="32"/>
          <w:lang w:eastAsia="zh-CN"/>
        </w:rPr>
        <w:t>。</w:t>
      </w:r>
      <w:r>
        <w:rPr>
          <w:rFonts w:hint="eastAsia" w:ascii="宋体" w:hAnsi="宋体" w:eastAsia="宋体" w:cs="宋体"/>
          <w:sz w:val="24"/>
          <w:szCs w:val="32"/>
        </w:rPr>
        <w:t>所修学的硕士生专业课程不低于19个学分，其中学科核心课程和专业必修课程（B、C类课程）12学分 ，</w:t>
      </w:r>
      <w:r>
        <w:rPr>
          <w:rFonts w:hint="eastAsia" w:ascii="宋体" w:hAnsi="宋体" w:eastAsia="宋体" w:cs="宋体"/>
          <w:sz w:val="24"/>
          <w:szCs w:val="32"/>
          <w:lang w:eastAsia="zh-CN"/>
        </w:rPr>
        <w:t>博士</w:t>
      </w:r>
      <w:r>
        <w:rPr>
          <w:rFonts w:hint="eastAsia" w:ascii="宋体" w:hAnsi="宋体" w:eastAsia="宋体" w:cs="宋体"/>
          <w:sz w:val="24"/>
          <w:szCs w:val="32"/>
        </w:rPr>
        <w:t>专业学位课程1-3门，其中导师讲授课程限1门。</w:t>
      </w:r>
    </w:p>
    <w:p>
      <w:pPr>
        <w:spacing w:line="360" w:lineRule="auto"/>
        <w:ind w:firstLine="480" w:firstLineChars="200"/>
        <w:jc w:val="left"/>
        <w:rPr>
          <w:rFonts w:hint="eastAsia" w:ascii="宋体" w:hAnsi="宋体" w:eastAsia="宋体" w:cs="宋体"/>
          <w:sz w:val="24"/>
          <w:szCs w:val="32"/>
        </w:rPr>
      </w:pPr>
    </w:p>
    <w:p>
      <w:pPr>
        <w:spacing w:line="360" w:lineRule="auto"/>
        <w:ind w:firstLine="480" w:firstLineChars="200"/>
        <w:jc w:val="left"/>
        <w:rPr>
          <w:rFonts w:hint="eastAsia" w:ascii="宋体" w:hAnsi="宋体" w:eastAsia="宋体" w:cs="宋体"/>
          <w:sz w:val="24"/>
          <w:szCs w:val="32"/>
        </w:rPr>
      </w:pPr>
    </w:p>
    <w:p>
      <w:pPr>
        <w:spacing w:line="360" w:lineRule="auto"/>
        <w:ind w:firstLine="480" w:firstLineChars="200"/>
        <w:jc w:val="left"/>
        <w:rPr>
          <w:rFonts w:hint="eastAsia" w:ascii="宋体" w:hAnsi="宋体" w:eastAsia="宋体" w:cs="宋体"/>
          <w:sz w:val="24"/>
          <w:szCs w:val="32"/>
        </w:rPr>
      </w:pPr>
    </w:p>
    <w:p>
      <w:pPr>
        <w:spacing w:line="360" w:lineRule="auto"/>
        <w:ind w:firstLine="480" w:firstLineChars="200"/>
        <w:jc w:val="left"/>
        <w:rPr>
          <w:rFonts w:hint="eastAsia" w:ascii="宋体" w:hAnsi="宋体" w:eastAsia="宋体" w:cs="宋体"/>
          <w:sz w:val="24"/>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86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课程类型</w:t>
            </w: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课程名称</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学分</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spacing w:line="360" w:lineRule="auto"/>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t>硕士生政治</w:t>
            </w: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中国特色社会主义理论与实践研究</w:t>
            </w:r>
          </w:p>
        </w:tc>
        <w:tc>
          <w:tcPr>
            <w:tcW w:w="900" w:type="dxa"/>
            <w:vAlign w:val="center"/>
          </w:tcPr>
          <w:p>
            <w:pPr>
              <w:spacing w:line="360" w:lineRule="auto"/>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Borders>
              <w:bottom w:val="single" w:color="auto" w:sz="4" w:space="0"/>
            </w:tcBorders>
            <w:vAlign w:val="center"/>
          </w:tcPr>
          <w:p>
            <w:pPr>
              <w:spacing w:line="360" w:lineRule="auto"/>
              <w:jc w:val="center"/>
              <w:rPr>
                <w:rFonts w:ascii="宋体" w:hAnsi="宋体" w:eastAsia="宋体" w:cs="宋体"/>
                <w:sz w:val="24"/>
                <w:szCs w:val="32"/>
              </w:rPr>
            </w:pPr>
          </w:p>
        </w:tc>
        <w:tc>
          <w:tcPr>
            <w:tcW w:w="486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自然辩证法概论 或 马克思主义与社会科学方法论 或 马克思主义原著选读（三选一）</w:t>
            </w:r>
          </w:p>
        </w:tc>
        <w:tc>
          <w:tcPr>
            <w:tcW w:w="900" w:type="dxa"/>
            <w:tcBorders>
              <w:bottom w:val="single" w:color="auto" w:sz="4" w:space="0"/>
            </w:tcBorders>
            <w:vAlign w:val="center"/>
          </w:tcPr>
          <w:p>
            <w:pPr>
              <w:spacing w:line="36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w:t>
            </w:r>
          </w:p>
        </w:tc>
        <w:tc>
          <w:tcPr>
            <w:tcW w:w="108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bottom w:val="nil"/>
            </w:tcBorders>
            <w:vAlign w:val="center"/>
          </w:tcPr>
          <w:p>
            <w:pPr>
              <w:spacing w:line="360" w:lineRule="auto"/>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t>博士生政治</w:t>
            </w:r>
          </w:p>
        </w:tc>
        <w:tc>
          <w:tcPr>
            <w:tcW w:w="4860" w:type="dxa"/>
            <w:tcBorders>
              <w:bottom w:val="single" w:color="auto" w:sz="4" w:space="0"/>
            </w:tcBorders>
            <w:vAlign w:val="center"/>
          </w:tcPr>
          <w:p>
            <w:pPr>
              <w:spacing w:line="360" w:lineRule="auto"/>
              <w:jc w:val="center"/>
              <w:rPr>
                <w:rFonts w:hint="eastAsia" w:ascii="宋体" w:hAnsi="宋体" w:eastAsia="宋体" w:cs="宋体"/>
                <w:sz w:val="24"/>
                <w:szCs w:val="32"/>
              </w:rPr>
            </w:pPr>
            <w:r>
              <w:rPr>
                <w:rFonts w:hint="eastAsia" w:ascii="宋体" w:hAnsi="宋体" w:eastAsia="宋体" w:cs="宋体"/>
                <w:sz w:val="24"/>
                <w:szCs w:val="32"/>
              </w:rPr>
              <w:t>中国马克思主义与当代</w:t>
            </w:r>
          </w:p>
        </w:tc>
        <w:tc>
          <w:tcPr>
            <w:tcW w:w="900" w:type="dxa"/>
            <w:tcBorders>
              <w:bottom w:val="single" w:color="auto" w:sz="4" w:space="0"/>
            </w:tcBorders>
            <w:vAlign w:val="center"/>
          </w:tcPr>
          <w:p>
            <w:pPr>
              <w:spacing w:line="36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w:t>
            </w:r>
          </w:p>
        </w:tc>
        <w:tc>
          <w:tcPr>
            <w:tcW w:w="1080" w:type="dxa"/>
            <w:tcBorders>
              <w:bottom w:val="single" w:color="auto" w:sz="4" w:space="0"/>
            </w:tcBorders>
            <w:vAlign w:val="center"/>
          </w:tcPr>
          <w:p>
            <w:pPr>
              <w:spacing w:line="36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spacing w:line="36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博士生英语</w:t>
            </w:r>
          </w:p>
        </w:tc>
        <w:tc>
          <w:tcPr>
            <w:tcW w:w="4860" w:type="dxa"/>
            <w:tcBorders>
              <w:bottom w:val="single" w:color="auto" w:sz="4" w:space="0"/>
            </w:tcBorders>
            <w:vAlign w:val="center"/>
          </w:tcPr>
          <w:p>
            <w:pPr>
              <w:spacing w:line="360" w:lineRule="auto"/>
              <w:jc w:val="center"/>
              <w:rPr>
                <w:rFonts w:hint="eastAsia" w:ascii="宋体" w:hAnsi="宋体" w:eastAsia="宋体" w:cs="宋体"/>
                <w:sz w:val="24"/>
                <w:szCs w:val="32"/>
              </w:rPr>
            </w:pPr>
            <w:r>
              <w:rPr>
                <w:rFonts w:hint="eastAsia" w:ascii="宋体" w:hAnsi="宋体" w:cs="宋体"/>
                <w:sz w:val="24"/>
                <w:szCs w:val="32"/>
              </w:rPr>
              <w:t>博士生学术交流英语</w:t>
            </w:r>
          </w:p>
        </w:tc>
        <w:tc>
          <w:tcPr>
            <w:tcW w:w="900" w:type="dxa"/>
            <w:tcBorders>
              <w:bottom w:val="single" w:color="auto" w:sz="4" w:space="0"/>
            </w:tcBorders>
            <w:vAlign w:val="center"/>
          </w:tcPr>
          <w:p>
            <w:pPr>
              <w:spacing w:line="36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w:t>
            </w:r>
          </w:p>
        </w:tc>
        <w:tc>
          <w:tcPr>
            <w:tcW w:w="1080" w:type="dxa"/>
            <w:tcBorders>
              <w:bottom w:val="single" w:color="auto" w:sz="4" w:space="0"/>
            </w:tcBorders>
            <w:vAlign w:val="center"/>
          </w:tcPr>
          <w:p>
            <w:pPr>
              <w:spacing w:line="36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Borders>
              <w:bottom w:val="nil"/>
            </w:tcBorders>
            <w:vAlign w:val="center"/>
          </w:tcPr>
          <w:p>
            <w:pPr>
              <w:spacing w:line="360" w:lineRule="auto"/>
              <w:jc w:val="center"/>
              <w:rPr>
                <w:rFonts w:hint="eastAsia" w:ascii="宋体" w:hAnsi="宋体" w:eastAsia="宋体" w:cs="宋体"/>
                <w:sz w:val="24"/>
                <w:szCs w:val="32"/>
                <w:lang w:eastAsia="zh-CN"/>
              </w:rPr>
            </w:pPr>
          </w:p>
        </w:tc>
        <w:tc>
          <w:tcPr>
            <w:tcW w:w="4860" w:type="dxa"/>
            <w:tcBorders>
              <w:bottom w:val="single" w:color="auto" w:sz="4" w:space="0"/>
            </w:tcBorders>
            <w:vAlign w:val="center"/>
          </w:tcPr>
          <w:p>
            <w:pPr>
              <w:spacing w:line="360" w:lineRule="auto"/>
              <w:jc w:val="center"/>
              <w:rPr>
                <w:rFonts w:hint="eastAsia" w:ascii="宋体" w:hAnsi="宋体" w:eastAsia="宋体" w:cs="宋体"/>
                <w:sz w:val="24"/>
                <w:szCs w:val="32"/>
              </w:rPr>
            </w:pPr>
            <w:r>
              <w:rPr>
                <w:rFonts w:hint="eastAsia" w:ascii="宋体" w:hAnsi="宋体" w:cs="宋体"/>
                <w:sz w:val="24"/>
                <w:szCs w:val="32"/>
              </w:rPr>
              <w:t>博士生英语口语/听力</w:t>
            </w:r>
          </w:p>
        </w:tc>
        <w:tc>
          <w:tcPr>
            <w:tcW w:w="900" w:type="dxa"/>
            <w:tcBorders>
              <w:bottom w:val="single" w:color="auto" w:sz="4" w:space="0"/>
            </w:tcBorders>
            <w:vAlign w:val="center"/>
          </w:tcPr>
          <w:p>
            <w:pPr>
              <w:spacing w:line="36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w:t>
            </w:r>
          </w:p>
        </w:tc>
        <w:tc>
          <w:tcPr>
            <w:tcW w:w="1080" w:type="dxa"/>
            <w:tcBorders>
              <w:bottom w:val="single" w:color="auto" w:sz="4" w:space="0"/>
            </w:tcBorders>
            <w:vAlign w:val="center"/>
          </w:tcPr>
          <w:p>
            <w:pPr>
              <w:spacing w:line="360" w:lineRule="auto"/>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tcBorders>
              <w:bottom w:val="nil"/>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公共必修课B类</w:t>
            </w:r>
          </w:p>
        </w:tc>
        <w:tc>
          <w:tcPr>
            <w:tcW w:w="486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医学科学研究方法以及科研伦理简介</w:t>
            </w:r>
          </w:p>
        </w:tc>
        <w:tc>
          <w:tcPr>
            <w:tcW w:w="90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Borders>
              <w:top w:val="nil"/>
            </w:tcBorders>
            <w:vAlign w:val="center"/>
          </w:tcPr>
          <w:p>
            <w:pPr>
              <w:spacing w:line="360" w:lineRule="auto"/>
              <w:jc w:val="center"/>
              <w:rPr>
                <w:rFonts w:ascii="宋体" w:hAnsi="宋体" w:eastAsia="宋体" w:cs="宋体"/>
                <w:sz w:val="24"/>
                <w:szCs w:val="32"/>
              </w:rPr>
            </w:pPr>
          </w:p>
        </w:tc>
        <w:tc>
          <w:tcPr>
            <w:tcW w:w="4860" w:type="dxa"/>
            <w:tcBorders>
              <w:top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年度生命科学突破解析</w:t>
            </w:r>
          </w:p>
        </w:tc>
        <w:tc>
          <w:tcPr>
            <w:tcW w:w="900" w:type="dxa"/>
            <w:tcBorders>
              <w:top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tcBorders>
              <w:top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专业必修课C类</w:t>
            </w: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炎症与疾病</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生物医学数据处理与统计分析</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生物医学仪器分析</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学术讲座</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spacing w:line="360" w:lineRule="auto"/>
              <w:jc w:val="center"/>
              <w:rPr>
                <w:rFonts w:ascii="宋体" w:hAnsi="宋体" w:eastAsia="宋体" w:cs="宋体"/>
                <w:sz w:val="24"/>
                <w:szCs w:val="32"/>
              </w:rPr>
            </w:pPr>
          </w:p>
          <w:p>
            <w:pPr>
              <w:spacing w:line="360" w:lineRule="auto"/>
              <w:jc w:val="center"/>
              <w:rPr>
                <w:rFonts w:ascii="宋体" w:hAnsi="宋体" w:eastAsia="宋体" w:cs="宋体"/>
                <w:sz w:val="24"/>
                <w:szCs w:val="32"/>
              </w:rPr>
            </w:pPr>
            <w:r>
              <w:rPr>
                <w:rFonts w:hint="eastAsia" w:ascii="宋体" w:hAnsi="宋体" w:eastAsia="宋体" w:cs="宋体"/>
                <w:sz w:val="24"/>
                <w:szCs w:val="32"/>
              </w:rPr>
              <w:t>公共选修课</w:t>
            </w:r>
          </w:p>
          <w:p>
            <w:pPr>
              <w:spacing w:line="360" w:lineRule="auto"/>
              <w:jc w:val="center"/>
              <w:rPr>
                <w:rFonts w:ascii="宋体" w:hAnsi="宋体" w:eastAsia="宋体" w:cs="宋体"/>
                <w:sz w:val="24"/>
                <w:szCs w:val="32"/>
              </w:rPr>
            </w:pPr>
            <w:r>
              <w:rPr>
                <w:rFonts w:hint="eastAsia" w:ascii="宋体" w:hAnsi="宋体" w:eastAsia="宋体" w:cs="宋体"/>
                <w:sz w:val="24"/>
                <w:szCs w:val="32"/>
              </w:rPr>
              <w:t>D类</w:t>
            </w: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生物信息学与医疗大数据</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hint="eastAsia" w:ascii="宋体" w:hAnsi="宋体" w:eastAsia="宋体" w:cs="宋体"/>
                <w:sz w:val="24"/>
                <w:szCs w:val="32"/>
              </w:rPr>
            </w:pPr>
          </w:p>
        </w:tc>
        <w:tc>
          <w:tcPr>
            <w:tcW w:w="4860" w:type="dxa"/>
            <w:vAlign w:val="center"/>
          </w:tcPr>
          <w:p>
            <w:pPr>
              <w:spacing w:line="360" w:lineRule="auto"/>
              <w:jc w:val="center"/>
              <w:rPr>
                <w:rFonts w:hint="eastAsia" w:ascii="宋体" w:hAnsi="宋体" w:eastAsia="宋体" w:cs="宋体"/>
                <w:kern w:val="2"/>
                <w:sz w:val="24"/>
                <w:szCs w:val="32"/>
                <w:lang w:val="en-US" w:eastAsia="zh-CN" w:bidi="ar-SA"/>
              </w:rPr>
            </w:pPr>
            <w:r>
              <w:rPr>
                <w:rFonts w:hint="eastAsia" w:ascii="Times New Roman" w:hAnsi="Times New Roman" w:eastAsia="宋体" w:cs="Times New Roman"/>
                <w:sz w:val="24"/>
              </w:rPr>
              <w:t>实用医学实验动物学</w:t>
            </w:r>
          </w:p>
        </w:tc>
        <w:tc>
          <w:tcPr>
            <w:tcW w:w="900" w:type="dxa"/>
            <w:vAlign w:val="center"/>
          </w:tcPr>
          <w:p>
            <w:pPr>
              <w:spacing w:line="360" w:lineRule="auto"/>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rPr>
              <w:t>2</w:t>
            </w:r>
          </w:p>
        </w:tc>
        <w:tc>
          <w:tcPr>
            <w:tcW w:w="1080" w:type="dxa"/>
            <w:vAlign w:val="center"/>
          </w:tcPr>
          <w:p>
            <w:pPr>
              <w:spacing w:line="360" w:lineRule="auto"/>
              <w:jc w:val="center"/>
              <w:rPr>
                <w:rFonts w:hint="eastAsia" w:ascii="宋体" w:hAnsi="宋体" w:eastAsia="宋体" w:cs="宋体"/>
                <w:kern w:val="2"/>
                <w:sz w:val="24"/>
                <w:szCs w:val="32"/>
                <w:lang w:val="en-US" w:eastAsia="zh-CN" w:bidi="ar-SA"/>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生物医学科学史</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疾病研究的生物学方法</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病毒学研究方法</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疾病遗传分析导论</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组织病理学</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分子病原学</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细胞与分子免疫学</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药物新理论与新技术</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bl>
    <w:p>
      <w:pPr>
        <w:spacing w:line="360" w:lineRule="auto"/>
        <w:jc w:val="left"/>
        <w:rPr>
          <w:rFonts w:ascii="宋体" w:hAnsi="宋体" w:eastAsia="宋体" w:cs="宋体"/>
          <w:sz w:val="24"/>
          <w:szCs w:val="32"/>
        </w:rPr>
      </w:pPr>
      <w:r>
        <w:rPr>
          <w:rFonts w:hint="eastAsia" w:ascii="宋体" w:hAnsi="宋体" w:eastAsia="宋体" w:cs="宋体"/>
          <w:sz w:val="24"/>
          <w:szCs w:val="32"/>
        </w:rPr>
        <w:t>备注：专业学位课程见课程附件</w:t>
      </w: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bookmarkStart w:id="2" w:name="_GoBack"/>
      <w:bookmarkEnd w:id="2"/>
    </w:p>
    <w:p>
      <w:pPr>
        <w:spacing w:line="360" w:lineRule="auto"/>
        <w:jc w:val="left"/>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附件：博士生专业学位课程</w:t>
      </w:r>
    </w:p>
    <w:tbl>
      <w:tblPr>
        <w:tblStyle w:val="4"/>
        <w:tblW w:w="8700" w:type="dxa"/>
        <w:jc w:val="center"/>
        <w:tblLayout w:type="fixed"/>
        <w:tblCellMar>
          <w:top w:w="0" w:type="dxa"/>
          <w:left w:w="0" w:type="dxa"/>
          <w:bottom w:w="0" w:type="dxa"/>
          <w:right w:w="0" w:type="dxa"/>
        </w:tblCellMar>
      </w:tblPr>
      <w:tblGrid>
        <w:gridCol w:w="960"/>
        <w:gridCol w:w="3472"/>
        <w:gridCol w:w="1549"/>
        <w:gridCol w:w="2719"/>
      </w:tblGrid>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课程名称</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课程编号</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任课老师</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细胞与分子免疫学</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1001C01</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侯亚义等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分子病原学</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1001C02</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吴稚伟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组织病理学</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1001C04</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韩晓冬等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生物医学科学史</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1001C28</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侯亚义等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疾病研究的生物学方法</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1001C30</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王宏伟、王婷婷等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药物新理论与新技术</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1001C33</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胡一桥、杜荣辉等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公共卫生与重大传染病预防</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1001C34</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吴稚伟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8</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生物信息学与医疗大数据</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1001D01</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杨敬平、方雷等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9</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疾病遗传分析导论</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1001D02</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王亚平、李宽钰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学术讲座</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1001D03</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hint="eastAsia" w:ascii="宋体" w:hAnsi="宋体" w:eastAsia="宋体" w:cs="宋体"/>
                <w:color w:val="000000"/>
                <w:kern w:val="0"/>
                <w:sz w:val="24"/>
                <w:lang w:bidi="ar"/>
              </w:rPr>
            </w:pP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4"/>
                <w:szCs w:val="24"/>
                <w:u w:val="none"/>
                <w:lang w:val="en-US" w:eastAsia="zh-CN" w:bidi="ar"/>
              </w:rPr>
              <w:t>11</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病毒学研究方法</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1001D04</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吴稚伟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4"/>
                <w:szCs w:val="24"/>
                <w:u w:val="none"/>
                <w:lang w:val="en-US" w:eastAsia="zh-CN" w:bidi="ar"/>
              </w:rPr>
              <w:t>12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临床药理学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周国华等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4"/>
                <w:szCs w:val="24"/>
                <w:u w:val="none"/>
                <w:lang w:val="en-US" w:eastAsia="zh-CN" w:bidi="ar"/>
              </w:rPr>
              <w:t>13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肿瘤靶向与个体化治疗进展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于正洪、刘宝瑞</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4"/>
                <w:szCs w:val="24"/>
                <w:u w:val="none"/>
                <w:lang w:val="en-US" w:eastAsia="zh-CN" w:bidi="ar"/>
              </w:rPr>
              <w:t>14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肺癌的基础与临床</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4"/>
                <w:szCs w:val="24"/>
                <w:u w:val="none"/>
                <w:lang w:val="en-US" w:eastAsia="zh-CN" w:bidi="ar"/>
              </w:rPr>
              <w:t>15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临床肿瘤学理论与实践</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钱晓萍</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4"/>
                <w:szCs w:val="24"/>
                <w:u w:val="none"/>
                <w:lang w:val="en-US" w:eastAsia="zh-CN" w:bidi="ar"/>
              </w:rPr>
              <w:t>16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急诊医学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聂时南</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高级创伤生命支持</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虞文魁</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妇科内分泌学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孙海翔</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19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妇科内镜学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周怀君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妇科肿瘤学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周怀君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围产医学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戴毅敏</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产前诊断技术及遗传咨询</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李洁</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妇产科超声影像学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茹彤</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母胎医学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李洁</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神经病学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朱武生、徐运</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神经病学诊断治疗进展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朱武生、赵辉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神经介入诊疗理论和技能培训</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朱武生、李敬伟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鼻内窥镜外科学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高下</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29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耳鼻咽喉－头颈肿瘤学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钱晓云</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耳科及听力学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高下</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耳鼻喉科学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钱晓云</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外科学基础</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管文贤</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肝胆胰外科学及器官移植学进展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孙倍成</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营养支持</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汪灏</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整形外科学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谭谦</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心胸外科学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王东进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泌尿外科学专业理论与实践</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郭宏骞</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骨科学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蒋青</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39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微创骨科：基础与临床</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刘臻</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脊柱矫形学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邱勇</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原发性肾脏疾病</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李世军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肾脏病理学检查</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曾彩虹</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延缓慢性肾脏病进展的理论及实践</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王金泉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糖尿病</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毕艳</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呼吸内科学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苏欣</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肺弥漫性疾病诊治进展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蔡后荣</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当代呼吸病学进展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宋勇</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内分泌及代谢性疾病的研究及诊治进展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沈山梅</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49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感染性疾病新进展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吴超</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抗微生物药物发展现状与合理应用</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吴超</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肾小球疾病的临床及病理诊断</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谢红浪</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疼痛生理学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金毅、马正良</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麻醉药理学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段满林、嵇晴、周路阳</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医学影像学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张龙江、张冰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影像解剖学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张冰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影像技术与基础</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朱斌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血液内科进展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陈兵</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消化病学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汪芳裕、徐桂芳</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59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消化内镜学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张晓华、王雷</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消化系统肿瘤的早期诊治</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刘炯、凌亭生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风湿病学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冯学兵</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组织学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冯学兵</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肿瘤学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李茹恬</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肿瘤诊疗新进展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邹征云</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专业英语</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戴毅敏</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辅助生殖技术</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孙海翔</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心肺脑复苏</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聂时南、李冰冰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普通外科学进展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管文贤</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69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器官移植学进展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施晓雷</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肿瘤生物学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魏嘉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小儿心脏外科学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王东进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心血管病学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徐标</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心血管外科围手术期诊疗</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王东进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血管外科学(静脉外科）</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周敏</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血管外科学（动脉外科）</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乔彤</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麻醉与围术期医学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顾小萍</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泌尿系统肿瘤研究新进展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张士伟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眼科新进展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胡凯、解正高</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79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儿科肠道病毒研究</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金玉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80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儿童遗传代谢性肝病诊治及研究进展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金玉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81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口腔生物材料研究与应用</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孟翔峰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82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口腔循证医学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孙卫斌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83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口腔生物学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苗雷英</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84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口腔医学科研方法与基本技术</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苗雷英</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color w:val="000000"/>
                <w:kern w:val="0"/>
                <w:sz w:val="24"/>
                <w:szCs w:val="24"/>
                <w:u w:val="none"/>
                <w:lang w:val="en-US" w:eastAsia="zh-CN" w:bidi="ar"/>
              </w:rPr>
              <w:t>85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口腔临床医学研究与设计</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孙卫斌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86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kern w:val="0"/>
                <w:sz w:val="24"/>
                <w:szCs w:val="32"/>
              </w:rPr>
            </w:pPr>
            <w:r>
              <w:rPr>
                <w:rFonts w:hint="eastAsia" w:ascii="宋体" w:hAnsi="宋体" w:eastAsia="宋体" w:cs="方正书宋_GBK"/>
                <w:sz w:val="24"/>
              </w:rPr>
              <w:t>高级口腔医学</w:t>
            </w:r>
            <w:r>
              <w:rPr>
                <w:rFonts w:ascii="宋体" w:hAnsi="宋体" w:eastAsia="宋体" w:cs="方正书宋_GBK"/>
                <w:sz w:val="24"/>
              </w:rPr>
              <w:t>统计学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孙卫斌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87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kern w:val="0"/>
                <w:sz w:val="24"/>
                <w:szCs w:val="32"/>
              </w:rPr>
            </w:pPr>
            <w:r>
              <w:rPr>
                <w:rFonts w:hint="eastAsia" w:ascii="宋体" w:hAnsi="宋体" w:eastAsia="宋体" w:cs="方正书宋_GBK"/>
                <w:sz w:val="24"/>
              </w:rPr>
              <w:t>口腔应用医学伦理学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孙卫斌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88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kern w:val="0"/>
                <w:sz w:val="24"/>
                <w:szCs w:val="32"/>
              </w:rPr>
            </w:pPr>
            <w:r>
              <w:rPr>
                <w:rFonts w:hint="eastAsia" w:ascii="宋体" w:hAnsi="宋体" w:eastAsia="宋体" w:cs="方正书宋_GBK"/>
                <w:sz w:val="24"/>
              </w:rPr>
              <w:t>口腔临床研究与设计</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雷浪</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89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口腔临床案例分析</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林梓桐</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90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口腔</w:t>
            </w:r>
            <w:r>
              <w:rPr>
                <w:rFonts w:ascii="宋体" w:hAnsi="宋体" w:eastAsia="宋体" w:cs="方正书宋_GBK"/>
                <w:sz w:val="24"/>
              </w:rPr>
              <w:t>循证医学</w:t>
            </w:r>
            <w:r>
              <w:rPr>
                <w:rFonts w:hint="eastAsia" w:ascii="宋体" w:hAnsi="宋体" w:eastAsia="宋体" w:cs="方正书宋_GBK"/>
                <w:sz w:val="24"/>
              </w:rPr>
              <w:t>实践</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谢思静</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91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口腔循证</w:t>
            </w:r>
            <w:r>
              <w:rPr>
                <w:rFonts w:ascii="宋体" w:hAnsi="宋体" w:eastAsia="宋体" w:cs="方正书宋_GBK"/>
                <w:sz w:val="24"/>
              </w:rPr>
              <w:t>临床决策</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谢思静</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92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专科技能模拟训练</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口腔医院</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keepNext w:val="0"/>
              <w:keepLines w:val="0"/>
              <w:widowControl/>
              <w:suppressLineNumbers w:val="0"/>
              <w:jc w:val="center"/>
              <w:textAlignment w:val="center"/>
              <w:rPr>
                <w:rFonts w:ascii="宋体" w:hAnsi="宋体" w:eastAsia="宋体" w:cs="宋体"/>
                <w:color w:val="000000"/>
                <w:kern w:val="0"/>
                <w:sz w:val="24"/>
                <w:lang w:bidi="ar"/>
              </w:rPr>
            </w:pPr>
            <w:r>
              <w:rPr>
                <w:rFonts w:hint="eastAsia" w:ascii="宋体" w:hAnsi="宋体" w:eastAsia="宋体" w:cs="宋体"/>
                <w:i w:val="0"/>
                <w:color w:val="000000"/>
                <w:kern w:val="0"/>
                <w:sz w:val="24"/>
                <w:szCs w:val="24"/>
                <w:u w:val="none"/>
                <w:lang w:val="en-US" w:eastAsia="zh-CN" w:bidi="ar"/>
              </w:rPr>
              <w:t>93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住院总实训课程</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105101X01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附属医院</w:t>
            </w:r>
          </w:p>
        </w:tc>
      </w:tr>
    </w:tbl>
    <w:p>
      <w:pPr>
        <w:spacing w:line="360" w:lineRule="auto"/>
        <w:jc w:val="left"/>
        <w:rPr>
          <w:rFonts w:hint="default" w:ascii="宋体" w:hAnsi="宋体" w:eastAsia="宋体" w:cs="宋体"/>
          <w:sz w:val="24"/>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Arial Unicode MS"/>
    <w:panose1 w:val="00000000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24203"/>
    <w:multiLevelType w:val="multilevel"/>
    <w:tmpl w:val="266242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3CD097"/>
    <w:multiLevelType w:val="singleLevel"/>
    <w:tmpl w:val="293CD09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966B1"/>
    <w:rsid w:val="0001201F"/>
    <w:rsid w:val="001B74FB"/>
    <w:rsid w:val="00394A7E"/>
    <w:rsid w:val="003B335E"/>
    <w:rsid w:val="0057208C"/>
    <w:rsid w:val="005A64B6"/>
    <w:rsid w:val="005D3426"/>
    <w:rsid w:val="006C18DC"/>
    <w:rsid w:val="006F7F17"/>
    <w:rsid w:val="007E235B"/>
    <w:rsid w:val="008C2AE4"/>
    <w:rsid w:val="00966064"/>
    <w:rsid w:val="00AA098B"/>
    <w:rsid w:val="00AE1FBA"/>
    <w:rsid w:val="00BD3DC0"/>
    <w:rsid w:val="00C60F4C"/>
    <w:rsid w:val="00C62FFA"/>
    <w:rsid w:val="00C94C71"/>
    <w:rsid w:val="00F106B6"/>
    <w:rsid w:val="00F60CBD"/>
    <w:rsid w:val="00F624C2"/>
    <w:rsid w:val="00F70B33"/>
    <w:rsid w:val="018738ED"/>
    <w:rsid w:val="0A3F6636"/>
    <w:rsid w:val="0AEF5755"/>
    <w:rsid w:val="1082063F"/>
    <w:rsid w:val="121D0EAB"/>
    <w:rsid w:val="181D7D78"/>
    <w:rsid w:val="1AB9258B"/>
    <w:rsid w:val="1AFE75DA"/>
    <w:rsid w:val="1B873218"/>
    <w:rsid w:val="1C09314A"/>
    <w:rsid w:val="252C5F1F"/>
    <w:rsid w:val="27E61D70"/>
    <w:rsid w:val="2B980923"/>
    <w:rsid w:val="3DD279F7"/>
    <w:rsid w:val="4641432A"/>
    <w:rsid w:val="4AB03E0E"/>
    <w:rsid w:val="4B3D6476"/>
    <w:rsid w:val="51D9397B"/>
    <w:rsid w:val="54965244"/>
    <w:rsid w:val="58945AAE"/>
    <w:rsid w:val="59597BB2"/>
    <w:rsid w:val="5A8D324E"/>
    <w:rsid w:val="5B665B63"/>
    <w:rsid w:val="608560D3"/>
    <w:rsid w:val="614D5DAA"/>
    <w:rsid w:val="6E4958F4"/>
    <w:rsid w:val="740966B1"/>
    <w:rsid w:val="7A291C26"/>
    <w:rsid w:val="7A7A2474"/>
    <w:rsid w:val="7B026F67"/>
    <w:rsid w:val="7D4F27C6"/>
    <w:rsid w:val="7F625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Pages>
  <Words>618</Words>
  <Characters>3527</Characters>
  <Lines>29</Lines>
  <Paragraphs>8</Paragraphs>
  <TotalTime>0</TotalTime>
  <ScaleCrop>false</ScaleCrop>
  <LinksUpToDate>false</LinksUpToDate>
  <CharactersWithSpaces>4137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2020-06-04T01:32:00Z</dcterms:created>
  <dc:creator>HP</dc:creator>
  <cp:lastModifiedBy>HP</cp:lastModifiedBy>
  <cp:lastPrinted>2020-06-28T06:49:00Z</cp:lastPrinted>
  <dcterms:modified xsi:type="dcterms:W3CDTF">2020-08-20T05:55:07Z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