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28"/>
          <w:szCs w:val="28"/>
        </w:rPr>
      </w:pPr>
      <w:r>
        <w:rPr>
          <w:rFonts w:hint="eastAsia" w:ascii="黑体" w:hAnsi="黑体" w:eastAsia="黑体"/>
          <w:b/>
          <w:bCs/>
          <w:sz w:val="28"/>
          <w:szCs w:val="28"/>
        </w:rPr>
        <w:t>南京大学戏剧与影视学（一级学科）博士研究生培养方案</w:t>
      </w:r>
    </w:p>
    <w:p>
      <w:pPr>
        <w:jc w:val="center"/>
        <w:rPr>
          <w:rFonts w:ascii="黑体" w:hAnsi="黑体" w:eastAsia="黑体"/>
          <w:b/>
          <w:bCs/>
          <w:sz w:val="28"/>
          <w:szCs w:val="28"/>
        </w:rPr>
      </w:pPr>
      <w:r>
        <w:rPr>
          <w:rFonts w:hint="eastAsia" w:ascii="黑体" w:hAnsi="黑体" w:eastAsia="黑体"/>
          <w:b/>
          <w:bCs/>
          <w:sz w:val="28"/>
          <w:szCs w:val="28"/>
        </w:rPr>
        <w:t>（</w:t>
      </w:r>
      <w:r>
        <w:rPr>
          <w:rFonts w:ascii="黑体" w:hAnsi="黑体" w:eastAsia="黑体"/>
          <w:b/>
          <w:bCs/>
          <w:sz w:val="28"/>
          <w:szCs w:val="28"/>
        </w:rPr>
        <w:t>20</w:t>
      </w:r>
      <w:r>
        <w:rPr>
          <w:rFonts w:hint="eastAsia" w:ascii="黑体" w:hAnsi="黑体" w:eastAsia="黑体"/>
          <w:b/>
          <w:bCs/>
          <w:sz w:val="28"/>
          <w:szCs w:val="28"/>
        </w:rPr>
        <w:t>20年修订）</w:t>
      </w:r>
    </w:p>
    <w:tbl>
      <w:tblPr>
        <w:tblStyle w:val="6"/>
        <w:tblpPr w:leftFromText="180" w:rightFromText="180" w:horzAnchor="margin" w:tblpXSpec="center" w:tblpY="-1440"/>
        <w:tblW w:w="11760" w:type="dxa"/>
        <w:tblInd w:w="0" w:type="dxa"/>
        <w:tblLayout w:type="fixed"/>
        <w:tblCellMar>
          <w:top w:w="0" w:type="dxa"/>
          <w:left w:w="108" w:type="dxa"/>
          <w:bottom w:w="0" w:type="dxa"/>
          <w:right w:w="108" w:type="dxa"/>
        </w:tblCellMar>
      </w:tblPr>
      <w:tblGrid>
        <w:gridCol w:w="11760"/>
      </w:tblGrid>
      <w:tr>
        <w:tblPrEx>
          <w:tblCellMar>
            <w:top w:w="0" w:type="dxa"/>
            <w:left w:w="108" w:type="dxa"/>
            <w:bottom w:w="0" w:type="dxa"/>
            <w:right w:w="108" w:type="dxa"/>
          </w:tblCellMar>
        </w:tblPrEx>
        <w:trPr>
          <w:trHeight w:val="375" w:hRule="atLeast"/>
        </w:trPr>
        <w:tc>
          <w:tcPr>
            <w:tcW w:w="11760" w:type="dxa"/>
            <w:vAlign w:val="center"/>
          </w:tcPr>
          <w:p>
            <w:pPr>
              <w:widowControl/>
              <w:jc w:val="center"/>
              <w:rPr>
                <w:rFonts w:ascii="黑体" w:hAnsi="宋体" w:eastAsia="黑体" w:cs="宋体"/>
                <w:b/>
                <w:bCs/>
                <w:kern w:val="0"/>
                <w:sz w:val="30"/>
                <w:szCs w:val="30"/>
              </w:rPr>
            </w:pPr>
          </w:p>
          <w:p>
            <w:pPr>
              <w:widowControl/>
              <w:jc w:val="left"/>
              <w:rPr>
                <w:rFonts w:ascii="黑体" w:hAnsi="宋体" w:eastAsia="黑体" w:cs="宋体"/>
                <w:b/>
                <w:bCs/>
                <w:kern w:val="0"/>
                <w:sz w:val="30"/>
                <w:szCs w:val="30"/>
              </w:rPr>
            </w:pPr>
          </w:p>
        </w:tc>
      </w:tr>
    </w:tbl>
    <w:p/>
    <w:p>
      <w:pPr>
        <w:rPr>
          <w:rFonts w:ascii="黑体" w:hAnsi="黑体" w:eastAsia="黑体"/>
          <w:b/>
          <w:bCs/>
          <w:sz w:val="24"/>
          <w:szCs w:val="24"/>
        </w:rPr>
      </w:pPr>
      <w:r>
        <w:rPr>
          <w:rFonts w:hint="eastAsia" w:ascii="黑体" w:hAnsi="黑体" w:eastAsia="黑体"/>
          <w:b/>
          <w:bCs/>
          <w:sz w:val="24"/>
          <w:szCs w:val="24"/>
        </w:rPr>
        <w:t>一．学科简介：</w:t>
      </w:r>
    </w:p>
    <w:p>
      <w:pPr>
        <w:widowControl/>
        <w:snapToGrid w:val="0"/>
        <w:ind w:firstLine="420"/>
        <w:rPr>
          <w:kern w:val="0"/>
          <w:szCs w:val="21"/>
        </w:rPr>
      </w:pPr>
      <w:r>
        <w:rPr>
          <w:rFonts w:hint="eastAsia" w:ascii="宋体" w:hAnsi="宋体"/>
          <w:kern w:val="0"/>
          <w:szCs w:val="21"/>
        </w:rPr>
        <w:t>南京大学文学院戏剧与影视学专业作为艺术学一级学科，在全国高校中占有重要的地位，在</w:t>
      </w:r>
      <w:r>
        <w:rPr>
          <w:rFonts w:ascii="宋体" w:hAnsi="宋体"/>
          <w:kern w:val="0"/>
          <w:szCs w:val="21"/>
        </w:rPr>
        <w:t>1995</w:t>
      </w:r>
      <w:r>
        <w:rPr>
          <w:rFonts w:hint="eastAsia" w:ascii="宋体" w:hAnsi="宋体"/>
          <w:kern w:val="0"/>
          <w:szCs w:val="21"/>
        </w:rPr>
        <w:t>年、</w:t>
      </w:r>
      <w:r>
        <w:rPr>
          <w:rFonts w:ascii="宋体" w:hAnsi="宋体"/>
          <w:kern w:val="0"/>
          <w:szCs w:val="21"/>
        </w:rPr>
        <w:t>2001</w:t>
      </w:r>
      <w:r>
        <w:rPr>
          <w:rFonts w:hint="eastAsia" w:ascii="宋体" w:hAnsi="宋体"/>
          <w:kern w:val="0"/>
          <w:szCs w:val="21"/>
        </w:rPr>
        <w:t>年、</w:t>
      </w:r>
      <w:r>
        <w:rPr>
          <w:rFonts w:ascii="宋体" w:hAnsi="宋体"/>
          <w:kern w:val="0"/>
          <w:szCs w:val="21"/>
        </w:rPr>
        <w:t>2006</w:t>
      </w:r>
      <w:r>
        <w:rPr>
          <w:rFonts w:hint="eastAsia" w:ascii="宋体" w:hAnsi="宋体"/>
          <w:kern w:val="0"/>
          <w:szCs w:val="21"/>
        </w:rPr>
        <w:t>年和</w:t>
      </w:r>
      <w:r>
        <w:rPr>
          <w:rFonts w:ascii="宋体" w:hAnsi="宋体"/>
          <w:kern w:val="0"/>
          <w:szCs w:val="21"/>
        </w:rPr>
        <w:t>2011</w:t>
      </w:r>
      <w:r>
        <w:rPr>
          <w:rFonts w:hint="eastAsia" w:ascii="宋体" w:hAnsi="宋体"/>
          <w:kern w:val="0"/>
          <w:szCs w:val="21"/>
        </w:rPr>
        <w:t>年连续被评为江苏省重点学科。下设戏剧戏曲学、电影学、电视艺术学等二级学科专业。</w:t>
      </w:r>
    </w:p>
    <w:p>
      <w:pPr>
        <w:rPr>
          <w:rFonts w:ascii="黑体" w:hAnsi="黑体" w:eastAsia="黑体"/>
          <w:b/>
          <w:bCs/>
          <w:sz w:val="24"/>
          <w:szCs w:val="24"/>
        </w:rPr>
      </w:pPr>
    </w:p>
    <w:p>
      <w:pPr>
        <w:rPr>
          <w:rFonts w:ascii="黑体" w:hAnsi="黑体" w:eastAsia="黑体"/>
          <w:b/>
          <w:bCs/>
          <w:sz w:val="24"/>
          <w:szCs w:val="24"/>
        </w:rPr>
      </w:pPr>
      <w:r>
        <w:rPr>
          <w:rFonts w:hint="eastAsia" w:ascii="黑体" w:hAnsi="黑体" w:eastAsia="黑体"/>
          <w:b/>
          <w:bCs/>
          <w:sz w:val="24"/>
          <w:szCs w:val="24"/>
        </w:rPr>
        <w:t>二．培养目标：</w:t>
      </w:r>
    </w:p>
    <w:p>
      <w:pPr>
        <w:ind w:firstLine="420" w:firstLineChars="200"/>
      </w:pPr>
      <w:r>
        <w:rPr>
          <w:rFonts w:hint="eastAsia" w:ascii="宋体" w:hAnsi="宋体"/>
          <w:kern w:val="0"/>
          <w:szCs w:val="21"/>
        </w:rPr>
        <w:t>根据艺术学学科的特点和国家对本学科人才的需要，</w:t>
      </w:r>
      <w:r>
        <w:rPr>
          <w:rFonts w:hint="eastAsia"/>
        </w:rPr>
        <w:t>确定博士研究生的培养目标，参照国际通行的一级学科培养博士研究生的经验，兼顾本科、硕士生和博士生之间的衔接，以“立德树人”为原则，建构科学合理的人才培养体系，遵循教育规律，提高教育质量和效益，关注当代学术最新发展，发扬自身特色，培养具有现代知识结构和实践能力，思想道德水平过硬，拥有家国情怀，德智体全面发展，在本学科范围内掌握坚实和宽广的基础理论和系统深入的专门知识，熟练掌握一门外国语，具有独立从事科学研究的能力，具备在本学科或相近学科从事创造性工作的复合型高级专门人才。</w:t>
      </w:r>
    </w:p>
    <w:p>
      <w:pPr>
        <w:rPr>
          <w:rFonts w:ascii="黑体" w:hAnsi="黑体" w:eastAsia="黑体"/>
          <w:b/>
          <w:bCs/>
          <w:sz w:val="24"/>
          <w:szCs w:val="24"/>
        </w:rPr>
      </w:pPr>
    </w:p>
    <w:p>
      <w:pPr>
        <w:tabs>
          <w:tab w:val="left" w:pos="420"/>
        </w:tabs>
      </w:pPr>
      <w:r>
        <w:rPr>
          <w:rFonts w:hint="eastAsia" w:ascii="黑体" w:hAnsi="黑体" w:eastAsia="黑体"/>
          <w:b/>
          <w:bCs/>
          <w:sz w:val="24"/>
          <w:szCs w:val="24"/>
        </w:rPr>
        <w:t>三．修业年限：</w:t>
      </w:r>
    </w:p>
    <w:p>
      <w:pPr>
        <w:pStyle w:val="4"/>
        <w:adjustRightInd w:val="0"/>
        <w:snapToGrid w:val="0"/>
        <w:spacing w:before="156" w:beforeLines="50" w:after="78" w:afterLines="25" w:line="360" w:lineRule="auto"/>
        <w:ind w:left="13" w:leftChars="6" w:firstLine="420" w:firstLineChars="200"/>
        <w:rPr>
          <w:rFonts w:ascii="宋体" w:hAnsi="宋体"/>
          <w:sz w:val="21"/>
          <w:szCs w:val="21"/>
        </w:rPr>
      </w:pPr>
      <w:r>
        <w:rPr>
          <w:rFonts w:hint="eastAsia" w:ascii="宋体" w:hAnsi="宋体"/>
          <w:sz w:val="21"/>
          <w:szCs w:val="21"/>
        </w:rPr>
        <w:t>本学科博士生类型主要有普通博士生、硕博连读生、直博生三种类别，</w:t>
      </w:r>
      <w:bookmarkStart w:id="0" w:name="_Hlk43971461"/>
      <w:r>
        <w:rPr>
          <w:rFonts w:hint="eastAsia" w:ascii="宋体" w:hAnsi="宋体"/>
          <w:sz w:val="21"/>
          <w:szCs w:val="21"/>
        </w:rPr>
        <w:t>不同类别博士生修业年限为：</w:t>
      </w:r>
    </w:p>
    <w:p>
      <w:pPr>
        <w:pStyle w:val="4"/>
        <w:numPr>
          <w:ilvl w:val="0"/>
          <w:numId w:val="1"/>
        </w:numPr>
        <w:adjustRightInd w:val="0"/>
        <w:snapToGrid w:val="0"/>
        <w:spacing w:after="0" w:line="360" w:lineRule="auto"/>
        <w:ind w:left="913" w:leftChars="0"/>
        <w:rPr>
          <w:rFonts w:ascii="宋体" w:hAnsi="宋体"/>
          <w:sz w:val="21"/>
          <w:szCs w:val="21"/>
        </w:rPr>
      </w:pPr>
      <w:r>
        <w:rPr>
          <w:rFonts w:hint="eastAsia" w:ascii="宋体" w:hAnsi="宋体"/>
          <w:sz w:val="21"/>
          <w:szCs w:val="21"/>
        </w:rPr>
        <w:t>普通博士生</w:t>
      </w:r>
      <w:r>
        <w:rPr>
          <w:rFonts w:ascii="宋体" w:hAnsi="宋体"/>
          <w:sz w:val="21"/>
          <w:szCs w:val="21"/>
        </w:rPr>
        <w:t>基本</w:t>
      </w:r>
      <w:r>
        <w:rPr>
          <w:rFonts w:hint="eastAsia" w:ascii="宋体" w:hAnsi="宋体"/>
          <w:sz w:val="21"/>
          <w:szCs w:val="21"/>
        </w:rPr>
        <w:t>修业年限为</w:t>
      </w:r>
      <w:r>
        <w:rPr>
          <w:rFonts w:ascii="宋体" w:hAnsi="宋体"/>
          <w:sz w:val="21"/>
          <w:szCs w:val="21"/>
        </w:rPr>
        <w:t>四年，最长</w:t>
      </w:r>
      <w:r>
        <w:rPr>
          <w:rFonts w:hint="eastAsia" w:ascii="宋体" w:hAnsi="宋体"/>
          <w:sz w:val="21"/>
          <w:szCs w:val="21"/>
        </w:rPr>
        <w:t>修业年限为</w:t>
      </w:r>
      <w:r>
        <w:rPr>
          <w:rFonts w:ascii="宋体" w:hAnsi="宋体"/>
          <w:sz w:val="21"/>
          <w:szCs w:val="21"/>
        </w:rPr>
        <w:t>八年</w:t>
      </w:r>
      <w:r>
        <w:rPr>
          <w:rFonts w:hint="eastAsia" w:ascii="宋体" w:hAnsi="宋体"/>
          <w:sz w:val="21"/>
          <w:szCs w:val="21"/>
        </w:rPr>
        <w:t>。</w:t>
      </w:r>
    </w:p>
    <w:p>
      <w:pPr>
        <w:pStyle w:val="4"/>
        <w:numPr>
          <w:ilvl w:val="0"/>
          <w:numId w:val="1"/>
        </w:numPr>
        <w:adjustRightInd w:val="0"/>
        <w:snapToGrid w:val="0"/>
        <w:spacing w:after="0" w:line="360" w:lineRule="auto"/>
        <w:ind w:left="913" w:leftChars="0" w:right="-426" w:rightChars="-203"/>
        <w:rPr>
          <w:rFonts w:ascii="宋体" w:hAnsi="宋体"/>
          <w:sz w:val="21"/>
          <w:szCs w:val="21"/>
        </w:rPr>
      </w:pPr>
      <w:r>
        <w:rPr>
          <w:rFonts w:hint="eastAsia" w:ascii="宋体" w:hAnsi="宋体"/>
          <w:sz w:val="21"/>
          <w:szCs w:val="21"/>
        </w:rPr>
        <w:t>硕博连读生进入博士阶段基本修业年限为四年，最长修业年限为八年。</w:t>
      </w:r>
    </w:p>
    <w:p>
      <w:pPr>
        <w:pStyle w:val="4"/>
        <w:numPr>
          <w:ilvl w:val="0"/>
          <w:numId w:val="1"/>
        </w:numPr>
        <w:adjustRightInd w:val="0"/>
        <w:snapToGrid w:val="0"/>
        <w:spacing w:after="0" w:line="360" w:lineRule="auto"/>
        <w:ind w:left="913" w:leftChars="0"/>
        <w:rPr>
          <w:rFonts w:ascii="宋体" w:hAnsi="宋体"/>
          <w:sz w:val="21"/>
          <w:szCs w:val="21"/>
        </w:rPr>
      </w:pPr>
      <w:r>
        <w:rPr>
          <w:rFonts w:hint="eastAsia" w:ascii="宋体" w:hAnsi="宋体"/>
          <w:sz w:val="21"/>
          <w:szCs w:val="21"/>
        </w:rPr>
        <w:t>直博生基本修业年限为五年，最长修业年限为八年。</w:t>
      </w:r>
    </w:p>
    <w:bookmarkEnd w:id="0"/>
    <w:p>
      <w:pPr>
        <w:ind w:left="720"/>
      </w:pPr>
    </w:p>
    <w:p>
      <w:pPr>
        <w:rPr>
          <w:rFonts w:ascii="黑体" w:hAnsi="黑体" w:eastAsia="黑体"/>
          <w:b/>
          <w:bCs/>
          <w:sz w:val="24"/>
          <w:szCs w:val="24"/>
        </w:rPr>
      </w:pPr>
    </w:p>
    <w:p>
      <w:pPr>
        <w:numPr>
          <w:ilvl w:val="0"/>
          <w:numId w:val="0"/>
        </w:numPr>
        <w:ind w:leftChars="0"/>
        <w:rPr>
          <w:rFonts w:ascii="黑体" w:hAnsi="黑体" w:eastAsia="黑体"/>
          <w:b/>
          <w:bCs/>
          <w:sz w:val="24"/>
          <w:szCs w:val="24"/>
        </w:rPr>
      </w:pPr>
      <w:r>
        <w:rPr>
          <w:rFonts w:hint="eastAsia" w:ascii="黑体" w:hAnsi="黑体" w:eastAsia="黑体"/>
          <w:b/>
          <w:bCs/>
          <w:sz w:val="24"/>
          <w:szCs w:val="24"/>
          <w:lang w:val="en-US" w:eastAsia="zh-CN"/>
        </w:rPr>
        <w:t>四．</w:t>
      </w:r>
      <w:r>
        <w:rPr>
          <w:rFonts w:hint="eastAsia" w:ascii="黑体" w:hAnsi="黑体" w:eastAsia="黑体"/>
          <w:b/>
          <w:bCs/>
          <w:sz w:val="24"/>
          <w:szCs w:val="24"/>
        </w:rPr>
        <w:t>培养方式：</w:t>
      </w:r>
    </w:p>
    <w:p>
      <w:pPr>
        <w:spacing w:line="320" w:lineRule="exact"/>
        <w:ind w:left="720"/>
        <w:rPr>
          <w:rFonts w:ascii="宋体" w:hAnsi="宋体"/>
          <w:szCs w:val="21"/>
        </w:rPr>
      </w:pPr>
      <w:r>
        <w:rPr>
          <w:rFonts w:hint="eastAsia" w:ascii="宋体" w:hAnsi="宋体"/>
          <w:b/>
          <w:bCs/>
          <w:szCs w:val="21"/>
        </w:rPr>
        <w:t>（一）培养原则：</w:t>
      </w:r>
      <w:r>
        <w:rPr>
          <w:rFonts w:hint="eastAsia" w:ascii="宋体" w:hAnsi="宋体"/>
          <w:szCs w:val="21"/>
        </w:rPr>
        <w:t>强化博士生导师立德树人的责任感和使命感，要求博士生导师做好博士生求知的指导者、学术的引路人和品德的垂范者。</w:t>
      </w:r>
    </w:p>
    <w:p>
      <w:pPr>
        <w:ind w:left="720"/>
        <w:rPr>
          <w:b/>
          <w:bCs/>
        </w:rPr>
      </w:pPr>
      <w:r>
        <w:rPr>
          <w:rFonts w:hint="eastAsia"/>
          <w:b/>
          <w:bCs/>
        </w:rPr>
        <w:t>（二）制定培养计划：</w:t>
      </w:r>
    </w:p>
    <w:p>
      <w:pPr>
        <w:ind w:left="720"/>
      </w:pPr>
      <w:r>
        <w:rPr>
          <w:rFonts w:hint="eastAsia"/>
        </w:rPr>
        <w:t>博士生培养实行导师领导下的博士生指导小组负责制。博士生指导小组由指导教师和具有副高以上职称或已取得博士学位的教师</w:t>
      </w:r>
      <w:r>
        <w:t>3-5</w:t>
      </w:r>
      <w:r>
        <w:rPr>
          <w:rFonts w:hint="eastAsia"/>
        </w:rPr>
        <w:t>人组成，其中1人为相邻专业的教师，导师担任指导小组组长。</w:t>
      </w:r>
    </w:p>
    <w:p>
      <w:pPr>
        <w:ind w:left="720"/>
      </w:pPr>
      <w:r>
        <w:rPr>
          <w:rFonts w:hint="eastAsia"/>
        </w:rPr>
        <w:t>博士研究生培养计划应在导师指导下由博士生本人填写，在第一学期末完成，一式两份，一份由学生自己保存，一份交院系备案。培养计划中应体现出具体培养措施。</w:t>
      </w:r>
    </w:p>
    <w:p>
      <w:pPr>
        <w:ind w:left="720"/>
        <w:rPr>
          <w:rFonts w:ascii="黑体" w:hAnsi="黑体" w:eastAsia="黑体"/>
          <w:b/>
          <w:bCs/>
          <w:sz w:val="24"/>
          <w:szCs w:val="24"/>
        </w:rPr>
      </w:pPr>
    </w:p>
    <w:p>
      <w:pPr>
        <w:rPr>
          <w:rFonts w:ascii="黑体" w:hAnsi="黑体" w:eastAsia="黑体"/>
          <w:b/>
          <w:bCs/>
          <w:sz w:val="24"/>
          <w:szCs w:val="24"/>
        </w:rPr>
      </w:pPr>
      <w:r>
        <w:rPr>
          <w:rFonts w:hint="eastAsia" w:ascii="黑体" w:hAnsi="黑体" w:eastAsia="黑体"/>
          <w:b/>
          <w:bCs/>
          <w:sz w:val="24"/>
          <w:szCs w:val="24"/>
          <w:lang w:val="en-US" w:eastAsia="zh-CN"/>
        </w:rPr>
        <w:t>五</w:t>
      </w:r>
      <w:r>
        <w:rPr>
          <w:rFonts w:hint="eastAsia" w:ascii="黑体" w:hAnsi="黑体" w:eastAsia="黑体"/>
          <w:b/>
          <w:bCs/>
          <w:sz w:val="24"/>
          <w:szCs w:val="24"/>
        </w:rPr>
        <w:t>．课程设置</w:t>
      </w:r>
    </w:p>
    <w:p>
      <w:pPr>
        <w:widowControl/>
        <w:snapToGrid w:val="0"/>
        <w:rPr>
          <w:kern w:val="0"/>
          <w:szCs w:val="21"/>
        </w:rPr>
      </w:pPr>
      <w:r>
        <w:rPr>
          <w:rFonts w:hint="eastAsia" w:ascii="宋体" w:hAnsi="宋体"/>
          <w:b/>
          <w:bCs/>
          <w:kern w:val="0"/>
          <w:szCs w:val="21"/>
        </w:rPr>
        <w:t>（一）课程说明：博士研究生课程分为以下四类课程：</w:t>
      </w:r>
    </w:p>
    <w:p>
      <w:pPr>
        <w:widowControl/>
        <w:snapToGrid w:val="0"/>
        <w:ind w:firstLine="840"/>
        <w:rPr>
          <w:kern w:val="0"/>
          <w:szCs w:val="21"/>
        </w:rPr>
      </w:pPr>
      <w:r>
        <w:rPr>
          <w:rFonts w:hint="eastAsia" w:ascii="宋体" w:hAnsi="宋体"/>
          <w:kern w:val="0"/>
          <w:szCs w:val="21"/>
        </w:rPr>
        <w:t>（</w:t>
      </w:r>
      <w:r>
        <w:rPr>
          <w:kern w:val="0"/>
          <w:szCs w:val="21"/>
        </w:rPr>
        <w:t>1</w:t>
      </w:r>
      <w:r>
        <w:rPr>
          <w:rFonts w:hint="eastAsia" w:ascii="宋体" w:hAnsi="宋体"/>
          <w:kern w:val="0"/>
          <w:szCs w:val="21"/>
        </w:rPr>
        <w:t>）公共政治课；</w:t>
      </w:r>
    </w:p>
    <w:p>
      <w:pPr>
        <w:widowControl/>
        <w:snapToGrid w:val="0"/>
        <w:ind w:firstLine="840"/>
        <w:rPr>
          <w:rFonts w:ascii="宋体" w:hAnsi="宋体"/>
          <w:kern w:val="0"/>
          <w:szCs w:val="21"/>
        </w:rPr>
      </w:pPr>
      <w:r>
        <w:rPr>
          <w:rFonts w:hint="eastAsia" w:ascii="宋体" w:hAnsi="宋体"/>
          <w:kern w:val="0"/>
          <w:szCs w:val="21"/>
        </w:rPr>
        <w:t>（</w:t>
      </w:r>
      <w:r>
        <w:rPr>
          <w:kern w:val="0"/>
          <w:szCs w:val="21"/>
        </w:rPr>
        <w:t>2</w:t>
      </w:r>
      <w:r>
        <w:rPr>
          <w:rFonts w:hint="eastAsia" w:ascii="宋体" w:hAnsi="宋体"/>
          <w:kern w:val="0"/>
          <w:szCs w:val="21"/>
        </w:rPr>
        <w:t>）公共外语课；</w:t>
      </w:r>
    </w:p>
    <w:p>
      <w:pPr>
        <w:widowControl/>
        <w:snapToGrid w:val="0"/>
        <w:ind w:firstLine="840"/>
        <w:rPr>
          <w:kern w:val="0"/>
          <w:szCs w:val="21"/>
        </w:rPr>
      </w:pPr>
      <w:r>
        <w:rPr>
          <w:rFonts w:hint="eastAsia" w:ascii="宋体" w:hAnsi="宋体"/>
          <w:kern w:val="0"/>
          <w:szCs w:val="21"/>
        </w:rPr>
        <w:t>（3）专业英语课，由文学院专业素养以及外语素养俱佳的老师主讲；</w:t>
      </w:r>
    </w:p>
    <w:p>
      <w:pPr>
        <w:widowControl/>
        <w:snapToGrid w:val="0"/>
        <w:ind w:firstLine="840"/>
        <w:rPr>
          <w:kern w:val="0"/>
          <w:szCs w:val="21"/>
        </w:rPr>
      </w:pPr>
      <w:r>
        <w:rPr>
          <w:rFonts w:hint="eastAsia" w:ascii="宋体" w:hAnsi="宋体"/>
          <w:kern w:val="0"/>
          <w:szCs w:val="21"/>
        </w:rPr>
        <w:t>（</w:t>
      </w:r>
      <w:r>
        <w:rPr>
          <w:kern w:val="0"/>
          <w:szCs w:val="21"/>
        </w:rPr>
        <w:t>4</w:t>
      </w:r>
      <w:r>
        <w:rPr>
          <w:rFonts w:hint="eastAsia" w:ascii="宋体" w:hAnsi="宋体"/>
          <w:kern w:val="0"/>
          <w:szCs w:val="21"/>
        </w:rPr>
        <w:t>）专业课。</w:t>
      </w:r>
    </w:p>
    <w:p>
      <w:pPr>
        <w:widowControl/>
        <w:snapToGrid w:val="0"/>
        <w:ind w:left="420" w:firstLine="420"/>
        <w:rPr>
          <w:rFonts w:ascii="宋体" w:hAnsi="宋体"/>
          <w:kern w:val="0"/>
          <w:szCs w:val="21"/>
        </w:rPr>
      </w:pPr>
      <w:r>
        <w:rPr>
          <w:rFonts w:hint="eastAsia" w:ascii="宋体" w:hAnsi="宋体"/>
          <w:kern w:val="0"/>
          <w:szCs w:val="21"/>
        </w:rPr>
        <w:t>文学院博士生专业课程共设约30门（原则上每位博士生导师开一门），由博士生在导师指导下选修</w:t>
      </w:r>
      <w:r>
        <w:rPr>
          <w:kern w:val="0"/>
          <w:szCs w:val="21"/>
        </w:rPr>
        <w:t>5</w:t>
      </w:r>
      <w:r>
        <w:rPr>
          <w:rFonts w:hint="eastAsia" w:ascii="宋体" w:hAnsi="宋体"/>
          <w:kern w:val="0"/>
          <w:szCs w:val="21"/>
        </w:rPr>
        <w:t>门，其中1门由导师开设的专业课必修，1门跨二级学科的专业课必修。</w:t>
      </w:r>
    </w:p>
    <w:p>
      <w:pPr>
        <w:widowControl/>
        <w:snapToGrid w:val="0"/>
        <w:ind w:left="420" w:firstLine="420"/>
        <w:rPr>
          <w:rFonts w:ascii="宋体" w:hAnsi="宋体"/>
          <w:szCs w:val="21"/>
        </w:rPr>
      </w:pPr>
      <w:r>
        <w:rPr>
          <w:rFonts w:hint="eastAsia" w:ascii="宋体" w:hAnsi="宋体"/>
          <w:szCs w:val="21"/>
        </w:rPr>
        <w:t>直博生需修读普通博士研究生所修课程、硕士研究生政治理论课程及不低于19个学分的硕士研究生B、C、D类课程。</w:t>
      </w:r>
    </w:p>
    <w:p>
      <w:pPr>
        <w:widowControl/>
        <w:snapToGrid w:val="0"/>
        <w:ind w:firstLine="840"/>
        <w:rPr>
          <w:kern w:val="0"/>
          <w:szCs w:val="21"/>
        </w:rPr>
      </w:pPr>
      <w:r>
        <w:rPr>
          <w:rFonts w:hint="eastAsia" w:ascii="宋体" w:hAnsi="宋体"/>
          <w:kern w:val="0"/>
          <w:szCs w:val="21"/>
        </w:rPr>
        <w:t>来华留学博士研究生课程包括：</w:t>
      </w:r>
    </w:p>
    <w:p>
      <w:pPr>
        <w:widowControl/>
        <w:snapToGrid w:val="0"/>
        <w:ind w:firstLine="840"/>
        <w:rPr>
          <w:kern w:val="0"/>
          <w:szCs w:val="21"/>
        </w:rPr>
      </w:pPr>
      <w:r>
        <w:rPr>
          <w:rFonts w:hint="eastAsia" w:ascii="宋体" w:hAnsi="宋体"/>
          <w:kern w:val="0"/>
          <w:szCs w:val="21"/>
        </w:rPr>
        <w:t>（</w:t>
      </w:r>
      <w:r>
        <w:rPr>
          <w:kern w:val="0"/>
          <w:szCs w:val="21"/>
        </w:rPr>
        <w:t>1</w:t>
      </w:r>
      <w:r>
        <w:rPr>
          <w:rFonts w:hint="eastAsia" w:ascii="宋体" w:hAnsi="宋体"/>
          <w:kern w:val="0"/>
          <w:szCs w:val="21"/>
        </w:rPr>
        <w:t>）中国概况；</w:t>
      </w:r>
    </w:p>
    <w:p>
      <w:pPr>
        <w:widowControl/>
        <w:snapToGrid w:val="0"/>
        <w:ind w:left="420" w:firstLine="435"/>
        <w:rPr>
          <w:kern w:val="0"/>
          <w:szCs w:val="21"/>
        </w:rPr>
      </w:pPr>
      <w:r>
        <w:rPr>
          <w:rFonts w:hint="eastAsia" w:ascii="宋体" w:hAnsi="宋体"/>
          <w:kern w:val="0"/>
          <w:szCs w:val="21"/>
        </w:rPr>
        <w:t>（</w:t>
      </w:r>
      <w:r>
        <w:rPr>
          <w:kern w:val="0"/>
          <w:szCs w:val="21"/>
        </w:rPr>
        <w:t>2</w:t>
      </w:r>
      <w:r>
        <w:rPr>
          <w:rFonts w:hint="eastAsia" w:ascii="宋体" w:hAnsi="宋体"/>
          <w:kern w:val="0"/>
          <w:szCs w:val="21"/>
        </w:rPr>
        <w:t>）汉语课，毕业时要求达到新ＨＳＫ</w:t>
      </w:r>
      <w:r>
        <w:rPr>
          <w:kern w:val="0"/>
          <w:szCs w:val="21"/>
        </w:rPr>
        <w:t>6</w:t>
      </w:r>
      <w:r>
        <w:rPr>
          <w:rFonts w:hint="eastAsia" w:ascii="宋体" w:hAnsi="宋体"/>
          <w:kern w:val="0"/>
          <w:szCs w:val="21"/>
        </w:rPr>
        <w:t>级（经批准用外语进行研究者除外）；</w:t>
      </w:r>
    </w:p>
    <w:p>
      <w:pPr>
        <w:widowControl/>
        <w:snapToGrid w:val="0"/>
        <w:ind w:firstLine="840"/>
        <w:rPr>
          <w:rFonts w:ascii="宋体" w:hAnsi="宋体"/>
          <w:kern w:val="0"/>
          <w:szCs w:val="21"/>
        </w:rPr>
      </w:pPr>
      <w:r>
        <w:rPr>
          <w:rFonts w:hint="eastAsia" w:ascii="宋体" w:hAnsi="宋体"/>
          <w:kern w:val="0"/>
          <w:szCs w:val="21"/>
        </w:rPr>
        <w:t>（</w:t>
      </w:r>
      <w:r>
        <w:rPr>
          <w:kern w:val="0"/>
          <w:szCs w:val="21"/>
        </w:rPr>
        <w:t>3</w:t>
      </w:r>
      <w:r>
        <w:rPr>
          <w:rFonts w:hint="eastAsia" w:ascii="宋体" w:hAnsi="宋体"/>
          <w:kern w:val="0"/>
          <w:szCs w:val="21"/>
        </w:rPr>
        <w:t>）专业课程同中国博士研究生。</w:t>
      </w:r>
    </w:p>
    <w:p>
      <w:pPr>
        <w:widowControl/>
        <w:snapToGrid w:val="0"/>
        <w:rPr>
          <w:rFonts w:ascii="宋体" w:hAnsi="宋体"/>
          <w:b/>
          <w:bCs/>
          <w:kern w:val="0"/>
          <w:szCs w:val="21"/>
        </w:rPr>
      </w:pPr>
      <w:r>
        <w:rPr>
          <w:rFonts w:hint="eastAsia" w:ascii="宋体" w:hAnsi="宋体"/>
          <w:b/>
          <w:bCs/>
          <w:kern w:val="0"/>
          <w:szCs w:val="21"/>
        </w:rPr>
        <w:t>（二）课程表</w:t>
      </w:r>
    </w:p>
    <w:tbl>
      <w:tblPr>
        <w:tblStyle w:val="6"/>
        <w:tblW w:w="8020" w:type="dxa"/>
        <w:tblInd w:w="93" w:type="dxa"/>
        <w:tblLayout w:type="autofit"/>
        <w:tblCellMar>
          <w:top w:w="0" w:type="dxa"/>
          <w:left w:w="108" w:type="dxa"/>
          <w:bottom w:w="0" w:type="dxa"/>
          <w:right w:w="108" w:type="dxa"/>
        </w:tblCellMar>
      </w:tblPr>
      <w:tblGrid>
        <w:gridCol w:w="1008"/>
        <w:gridCol w:w="4312"/>
        <w:gridCol w:w="2700"/>
      </w:tblGrid>
      <w:tr>
        <w:tblPrEx>
          <w:tblCellMar>
            <w:top w:w="0" w:type="dxa"/>
            <w:left w:w="108" w:type="dxa"/>
            <w:bottom w:w="0" w:type="dxa"/>
            <w:right w:w="108" w:type="dxa"/>
          </w:tblCellMar>
        </w:tblPrEx>
        <w:trPr>
          <w:trHeight w:val="390" w:hRule="atLeast"/>
        </w:trPr>
        <w:tc>
          <w:tcPr>
            <w:tcW w:w="80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博士生课程</w:t>
            </w:r>
          </w:p>
        </w:tc>
      </w:tr>
      <w:tr>
        <w:tblPrEx>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公共课</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课程名称</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任课教师</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中国马克思主义与当代</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博士生英语（博士生</w:t>
            </w:r>
            <w:r>
              <w:rPr>
                <w:rFonts w:ascii="宋体" w:hAnsi="宋体" w:cs="宋体"/>
                <w:color w:val="000000"/>
                <w:kern w:val="0"/>
                <w:szCs w:val="21"/>
              </w:rPr>
              <w:t>学术交流英语</w:t>
            </w:r>
            <w:r>
              <w:rPr>
                <w:rFonts w:hint="eastAsia" w:ascii="宋体" w:hAnsi="宋体" w:cs="宋体"/>
                <w:color w:val="000000"/>
                <w:kern w:val="0"/>
                <w:szCs w:val="21"/>
              </w:rPr>
              <w:t>（必修）；</w:t>
            </w:r>
            <w:r>
              <w:rPr>
                <w:rFonts w:ascii="宋体" w:hAnsi="宋体" w:cs="宋体"/>
                <w:color w:val="000000"/>
                <w:kern w:val="0"/>
                <w:szCs w:val="21"/>
              </w:rPr>
              <w:t>博士生</w:t>
            </w:r>
            <w:r>
              <w:rPr>
                <w:rFonts w:hint="eastAsia" w:ascii="宋体" w:hAnsi="宋体" w:cs="宋体"/>
                <w:color w:val="000000"/>
                <w:kern w:val="0"/>
                <w:szCs w:val="21"/>
              </w:rPr>
              <w:t>英语</w:t>
            </w:r>
            <w:r>
              <w:rPr>
                <w:rFonts w:ascii="宋体" w:hAnsi="宋体" w:cs="宋体"/>
                <w:color w:val="000000"/>
                <w:kern w:val="0"/>
                <w:szCs w:val="21"/>
              </w:rPr>
              <w:t>听力、博士生英语口语（</w:t>
            </w:r>
            <w:r>
              <w:rPr>
                <w:rFonts w:hint="eastAsia" w:ascii="宋体" w:hAnsi="宋体" w:cs="宋体"/>
                <w:color w:val="000000"/>
                <w:kern w:val="0"/>
                <w:szCs w:val="21"/>
              </w:rPr>
              <w:t>任选一门</w:t>
            </w:r>
            <w:r>
              <w:rPr>
                <w:rFonts w:ascii="宋体" w:hAnsi="宋体" w:cs="宋体"/>
                <w:color w:val="000000"/>
                <w:kern w:val="0"/>
                <w:szCs w:val="21"/>
              </w:rPr>
              <w:t>）</w:t>
            </w:r>
            <w:r>
              <w:rPr>
                <w:rFonts w:hint="eastAsia" w:ascii="宋体" w:hAnsi="宋体" w:cs="宋体"/>
                <w:color w:val="000000"/>
                <w:kern w:val="0"/>
                <w:szCs w:val="21"/>
              </w:rPr>
              <w:t>）</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英文文献检索与阅读</w:t>
            </w:r>
          </w:p>
        </w:tc>
        <w:tc>
          <w:tcPr>
            <w:tcW w:w="2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张安琪</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海外汉学与原著选读</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程章灿等</w:t>
            </w:r>
          </w:p>
        </w:tc>
      </w:tr>
      <w:tr>
        <w:tblPrEx>
          <w:tblCellMar>
            <w:top w:w="0" w:type="dxa"/>
            <w:left w:w="108" w:type="dxa"/>
            <w:bottom w:w="0" w:type="dxa"/>
            <w:right w:w="108" w:type="dxa"/>
          </w:tblCellMar>
        </w:tblPrEx>
        <w:trPr>
          <w:trHeight w:val="510" w:hRule="atLeast"/>
        </w:trPr>
        <w:tc>
          <w:tcPr>
            <w:tcW w:w="5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备注：3、4任选一门作为专业英语</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专业课</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课程名称</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任课教师</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明清文论专题研究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周  群</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方言学理论与方法</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顾  黔</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汉语语音史研究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张玉来</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语义语法原理和研究方法</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马清华</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汉字理论</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黄德宽</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欧美汉学原著选读</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程章灿</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古籍校勘研究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武秀成</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中古文献与知识、思想研究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赵  益</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唐宋文学专题</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莫砺锋</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10</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域外汉籍研究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张伯伟</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中国古代散文流派研究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曹  虹</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中国赋学研究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许  结</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左传研究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徐兴无</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中国古代文学通俗文学研究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苗怀明</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15</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东亚古典学</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金程宇</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16</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中国古典诗歌与诗学研究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卞东波</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17</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隋唐中国与周边世界</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童  岭</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18</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中国20世纪后半叶文学选题探讨</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丁  帆</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19</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中国现代文学思潮与人物</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沈卫威</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w:t>
            </w:r>
          </w:p>
        </w:tc>
        <w:tc>
          <w:tcPr>
            <w:tcW w:w="4312"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多元视野中的中国现当代文学研究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王彬彬</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中国当代文学批评研究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吴  俊</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近百年中国文学学术思潮史</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张光芒</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世界华人文学专题研究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刘  俊</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中国比较文学：学科史及其反思</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余  斌</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25</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解构与英国后现代主义文学</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肖锦龙</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26</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20世纪中俄文学关系专题研究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董  晓</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27</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二十世纪中国戏剧思潮</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胡星亮</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28</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亚洲新电影研究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周安华</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29</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中国话剧舞台艺术发展史</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马俊山</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30</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现代戏曲理论</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吕效平</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中国电视剧专题研究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李兴阳</w:t>
            </w:r>
          </w:p>
        </w:tc>
      </w:tr>
    </w:tbl>
    <w:p/>
    <w:p>
      <w:pPr>
        <w:widowControl/>
        <w:snapToGrid w:val="0"/>
        <w:rPr>
          <w:rFonts w:ascii="黑体" w:hAnsi="黑体" w:eastAsia="黑体"/>
          <w:b/>
          <w:bCs/>
          <w:kern w:val="0"/>
          <w:sz w:val="24"/>
          <w:szCs w:val="24"/>
        </w:rPr>
      </w:pPr>
      <w:r>
        <w:rPr>
          <w:rFonts w:hint="eastAsia" w:ascii="黑体" w:hAnsi="黑体" w:eastAsia="黑体"/>
          <w:b/>
          <w:bCs/>
          <w:kern w:val="0"/>
          <w:sz w:val="24"/>
          <w:szCs w:val="24"/>
          <w:lang w:val="en-US" w:eastAsia="zh-CN"/>
        </w:rPr>
        <w:t>六</w:t>
      </w:r>
      <w:r>
        <w:rPr>
          <w:rFonts w:hint="eastAsia" w:ascii="黑体" w:hAnsi="黑体" w:eastAsia="黑体"/>
          <w:b/>
          <w:bCs/>
          <w:kern w:val="0"/>
          <w:sz w:val="24"/>
          <w:szCs w:val="24"/>
        </w:rPr>
        <w:t>．质量监控与学业流程：</w:t>
      </w:r>
      <w:bookmarkStart w:id="4" w:name="_GoBack"/>
      <w:bookmarkEnd w:id="4"/>
    </w:p>
    <w:p>
      <w:pPr>
        <w:widowControl/>
        <w:snapToGrid w:val="0"/>
        <w:ind w:firstLine="420" w:firstLineChars="200"/>
        <w:rPr>
          <w:rFonts w:ascii="宋体" w:hAnsi="宋体"/>
          <w:b/>
          <w:bCs/>
          <w:kern w:val="0"/>
          <w:szCs w:val="21"/>
        </w:rPr>
      </w:pPr>
      <w:r>
        <w:rPr>
          <w:rFonts w:hint="eastAsia" w:ascii="宋体" w:hAnsi="宋体"/>
          <w:b/>
          <w:bCs/>
          <w:kern w:val="0"/>
          <w:szCs w:val="21"/>
        </w:rPr>
        <w:t>（一）博士资格考核：</w:t>
      </w:r>
      <w:r>
        <w:rPr>
          <w:rFonts w:hint="eastAsia" w:ascii="宋体" w:hAnsi="宋体" w:cs="宋体"/>
          <w:kern w:val="0"/>
          <w:szCs w:val="21"/>
        </w:rPr>
        <w:t>建全阶段考核制度，</w:t>
      </w:r>
      <w:r>
        <w:rPr>
          <w:rFonts w:hint="eastAsia" w:ascii="宋体" w:hAnsi="宋体" w:cs="宋体"/>
          <w:bCs/>
          <w:kern w:val="0"/>
          <w:szCs w:val="21"/>
        </w:rPr>
        <w:t>达到分流、淘汰和择优、奖优目的；同时配合学校的论文质检制度，保障学位论文水平。</w:t>
      </w:r>
    </w:p>
    <w:p>
      <w:pPr>
        <w:pStyle w:val="9"/>
        <w:widowControl/>
        <w:shd w:val="clear" w:color="auto" w:fill="FFFFFF"/>
        <w:ind w:firstLine="422"/>
        <w:jc w:val="left"/>
        <w:rPr>
          <w:rFonts w:ascii="宋体" w:hAnsi="宋体" w:cs="宋体"/>
          <w:b/>
          <w:kern w:val="0"/>
          <w:szCs w:val="21"/>
        </w:rPr>
      </w:pPr>
      <w:bookmarkStart w:id="1" w:name="_Hlk44832882"/>
      <w:bookmarkStart w:id="2" w:name="_Hlk44832978"/>
      <w:r>
        <w:rPr>
          <w:rFonts w:hint="eastAsia" w:ascii="宋体" w:hAnsi="宋体" w:cs="宋体"/>
          <w:b/>
          <w:kern w:val="0"/>
          <w:szCs w:val="21"/>
        </w:rPr>
        <w:t>1</w:t>
      </w:r>
      <w:r>
        <w:rPr>
          <w:rFonts w:hint="eastAsia" w:ascii="宋体" w:hAnsi="宋体" w:cs="宋体"/>
          <w:bCs/>
          <w:kern w:val="0"/>
          <w:szCs w:val="21"/>
        </w:rPr>
        <w:t>、</w:t>
      </w:r>
      <w:bookmarkEnd w:id="1"/>
      <w:r>
        <w:rPr>
          <w:rFonts w:hint="eastAsia" w:ascii="宋体" w:hAnsi="宋体" w:cs="宋体"/>
          <w:b/>
          <w:kern w:val="0"/>
          <w:szCs w:val="21"/>
        </w:rPr>
        <w:t>博士资格考核时间</w:t>
      </w:r>
      <w:bookmarkEnd w:id="2"/>
    </w:p>
    <w:p>
      <w:pPr>
        <w:pStyle w:val="9"/>
        <w:widowControl/>
        <w:shd w:val="clear" w:color="auto" w:fill="FFFFFF"/>
        <w:ind w:left="720" w:firstLine="0" w:firstLineChars="0"/>
        <w:jc w:val="left"/>
        <w:rPr>
          <w:rFonts w:ascii="宋体" w:hAnsi="宋体" w:cs="宋体"/>
          <w:bCs/>
          <w:kern w:val="0"/>
          <w:szCs w:val="21"/>
        </w:rPr>
      </w:pPr>
      <w:r>
        <w:rPr>
          <w:rFonts w:hint="eastAsia" w:ascii="宋体" w:hAnsi="宋体" w:cs="宋体"/>
          <w:kern w:val="0"/>
          <w:szCs w:val="21"/>
        </w:rPr>
        <w:t>（1）</w:t>
      </w:r>
      <w:r>
        <w:rPr>
          <w:rFonts w:hint="eastAsia" w:ascii="宋体" w:hAnsi="宋体" w:cs="宋体"/>
          <w:bCs/>
          <w:kern w:val="0"/>
          <w:szCs w:val="21"/>
        </w:rPr>
        <w:t>资格考核安排在第三学期初进行，学位论文开题考核在第三学期中期进行。</w:t>
      </w:r>
    </w:p>
    <w:p>
      <w:pPr>
        <w:pStyle w:val="9"/>
        <w:widowControl/>
        <w:shd w:val="clear" w:color="auto" w:fill="FFFFFF"/>
        <w:ind w:left="720" w:firstLine="0" w:firstLineChars="0"/>
        <w:jc w:val="left"/>
        <w:rPr>
          <w:rFonts w:ascii="宋体" w:hAnsi="宋体" w:cs="宋体"/>
          <w:bCs/>
          <w:kern w:val="0"/>
          <w:szCs w:val="21"/>
        </w:rPr>
      </w:pPr>
      <w:r>
        <w:rPr>
          <w:rFonts w:hint="eastAsia" w:ascii="宋体" w:hAnsi="宋体" w:cs="宋体"/>
          <w:bCs/>
          <w:kern w:val="0"/>
          <w:szCs w:val="21"/>
        </w:rPr>
        <w:t>（2）所有博士生必须参加所在年级的第一次资格考核；确有原因而无法参加者，做暂缓通过处理。</w:t>
      </w:r>
    </w:p>
    <w:p>
      <w:pPr>
        <w:pStyle w:val="9"/>
        <w:widowControl/>
        <w:shd w:val="clear" w:color="auto" w:fill="FFFFFF"/>
        <w:ind w:firstLine="422"/>
        <w:jc w:val="left"/>
        <w:rPr>
          <w:rFonts w:ascii="宋体" w:hAnsi="宋体" w:cs="宋体"/>
          <w:b/>
          <w:kern w:val="0"/>
          <w:szCs w:val="21"/>
        </w:rPr>
      </w:pPr>
      <w:r>
        <w:rPr>
          <w:rFonts w:hint="eastAsia" w:ascii="宋体" w:hAnsi="宋体" w:cs="宋体"/>
          <w:b/>
          <w:kern w:val="0"/>
          <w:szCs w:val="21"/>
        </w:rPr>
        <w:t>2</w:t>
      </w:r>
      <w:r>
        <w:rPr>
          <w:rFonts w:hint="eastAsia" w:ascii="宋体" w:hAnsi="宋体" w:cs="宋体"/>
          <w:bCs/>
          <w:kern w:val="0"/>
          <w:szCs w:val="21"/>
        </w:rPr>
        <w:t>、</w:t>
      </w:r>
      <w:r>
        <w:rPr>
          <w:rFonts w:hint="eastAsia" w:ascii="宋体" w:hAnsi="宋体" w:cs="宋体"/>
          <w:b/>
          <w:kern w:val="0"/>
          <w:szCs w:val="21"/>
        </w:rPr>
        <w:t>博士资格考核内容</w:t>
      </w:r>
    </w:p>
    <w:p>
      <w:pPr>
        <w:pStyle w:val="9"/>
        <w:widowControl/>
        <w:shd w:val="clear" w:color="auto" w:fill="FFFFFF"/>
        <w:ind w:left="720" w:firstLine="0" w:firstLineChars="0"/>
        <w:jc w:val="left"/>
        <w:rPr>
          <w:rFonts w:ascii="宋体" w:hAnsi="宋体" w:cs="宋体"/>
          <w:bCs/>
          <w:kern w:val="0"/>
          <w:szCs w:val="21"/>
        </w:rPr>
      </w:pPr>
      <w:r>
        <w:rPr>
          <w:rFonts w:hint="eastAsia" w:ascii="宋体" w:hAnsi="宋体" w:cs="宋体"/>
          <w:bCs/>
          <w:kern w:val="0"/>
          <w:szCs w:val="21"/>
        </w:rPr>
        <w:t>（1）除学校规定要求外，导师（组）须在入学始开列至少20种专业书目，学生须完成每种书目的读书报告。</w:t>
      </w:r>
    </w:p>
    <w:p>
      <w:pPr>
        <w:pStyle w:val="9"/>
        <w:widowControl/>
        <w:numPr>
          <w:ilvl w:val="0"/>
          <w:numId w:val="2"/>
        </w:numPr>
        <w:shd w:val="clear" w:color="auto" w:fill="FFFFFF"/>
        <w:ind w:firstLineChars="0"/>
        <w:jc w:val="left"/>
        <w:rPr>
          <w:rFonts w:ascii="宋体" w:hAnsi="宋体" w:cs="宋体"/>
          <w:bCs/>
          <w:kern w:val="0"/>
          <w:szCs w:val="21"/>
        </w:rPr>
      </w:pPr>
      <w:r>
        <w:rPr>
          <w:rFonts w:hint="eastAsia" w:ascii="宋体" w:hAnsi="宋体" w:cs="宋体"/>
          <w:bCs/>
          <w:kern w:val="0"/>
          <w:szCs w:val="21"/>
        </w:rPr>
        <w:t>另由学生自选、导师认可至少10种专业书目，每种也须完成读书报告。</w:t>
      </w:r>
    </w:p>
    <w:p>
      <w:pPr>
        <w:pStyle w:val="9"/>
        <w:widowControl/>
        <w:numPr>
          <w:ilvl w:val="0"/>
          <w:numId w:val="2"/>
        </w:numPr>
        <w:shd w:val="clear" w:color="auto" w:fill="FFFFFF"/>
        <w:ind w:firstLineChars="0"/>
        <w:jc w:val="left"/>
        <w:rPr>
          <w:rFonts w:ascii="宋体" w:hAnsi="宋体" w:cs="宋体"/>
          <w:bCs/>
          <w:kern w:val="0"/>
          <w:szCs w:val="21"/>
        </w:rPr>
      </w:pPr>
      <w:r>
        <w:rPr>
          <w:rFonts w:hint="eastAsia" w:ascii="宋体" w:hAnsi="宋体" w:cs="宋体"/>
          <w:bCs/>
          <w:kern w:val="0"/>
          <w:szCs w:val="21"/>
        </w:rPr>
        <w:t>共30种书目及读书报告为博士资格考核内容。通过者获学位论文开题资格。</w:t>
      </w:r>
    </w:p>
    <w:p>
      <w:pPr>
        <w:pStyle w:val="9"/>
        <w:widowControl/>
        <w:numPr>
          <w:ilvl w:val="0"/>
          <w:numId w:val="2"/>
        </w:numPr>
        <w:shd w:val="clear" w:color="auto" w:fill="FFFFFF"/>
        <w:ind w:firstLineChars="0"/>
        <w:jc w:val="left"/>
        <w:rPr>
          <w:rFonts w:ascii="宋体" w:hAnsi="宋体" w:cs="宋体"/>
          <w:bCs/>
          <w:kern w:val="0"/>
          <w:szCs w:val="21"/>
        </w:rPr>
      </w:pPr>
      <w:r>
        <w:rPr>
          <w:rFonts w:hint="eastAsia" w:ascii="宋体" w:hAnsi="宋体" w:cs="宋体"/>
          <w:bCs/>
          <w:kern w:val="0"/>
          <w:szCs w:val="21"/>
        </w:rPr>
        <w:t xml:space="preserve"> 学位论文开题考核的内容即论文开题报告所涉的学术范围。</w:t>
      </w:r>
    </w:p>
    <w:p>
      <w:pPr>
        <w:pStyle w:val="9"/>
        <w:shd w:val="clear" w:color="auto" w:fill="FFFFFF"/>
        <w:tabs>
          <w:tab w:val="left" w:pos="720"/>
        </w:tabs>
        <w:ind w:firstLine="422"/>
        <w:rPr>
          <w:rFonts w:ascii="宋体" w:hAnsi="宋体" w:cs="宋体"/>
          <w:b/>
          <w:kern w:val="0"/>
          <w:szCs w:val="21"/>
        </w:rPr>
      </w:pPr>
      <w:r>
        <w:rPr>
          <w:rFonts w:hint="eastAsia" w:ascii="宋体" w:hAnsi="宋体" w:cs="宋体"/>
          <w:b/>
          <w:kern w:val="0"/>
          <w:szCs w:val="21"/>
        </w:rPr>
        <w:t>3</w:t>
      </w:r>
      <w:r>
        <w:rPr>
          <w:rFonts w:hint="eastAsia" w:ascii="宋体" w:hAnsi="宋体" w:cs="宋体"/>
          <w:bCs/>
          <w:kern w:val="0"/>
          <w:szCs w:val="21"/>
        </w:rPr>
        <w:t>、</w:t>
      </w:r>
      <w:r>
        <w:rPr>
          <w:rFonts w:hint="eastAsia" w:ascii="宋体" w:hAnsi="宋体" w:cs="宋体"/>
          <w:b/>
          <w:kern w:val="0"/>
          <w:szCs w:val="21"/>
        </w:rPr>
        <w:t>博士资格考核方式</w:t>
      </w:r>
    </w:p>
    <w:p>
      <w:pPr>
        <w:pStyle w:val="9"/>
        <w:shd w:val="clear" w:color="auto" w:fill="FFFFFF"/>
        <w:tabs>
          <w:tab w:val="left" w:pos="720"/>
        </w:tabs>
        <w:ind w:left="720" w:firstLine="0" w:firstLineChars="0"/>
        <w:rPr>
          <w:rFonts w:ascii="宋体" w:hAnsi="宋体" w:cs="宋体"/>
          <w:bCs/>
          <w:kern w:val="0"/>
          <w:szCs w:val="21"/>
        </w:rPr>
      </w:pPr>
      <w:r>
        <w:rPr>
          <w:rFonts w:hint="eastAsia" w:ascii="宋体" w:hAnsi="宋体" w:cs="宋体"/>
          <w:bCs/>
          <w:kern w:val="0"/>
          <w:szCs w:val="21"/>
        </w:rPr>
        <w:t>（1）博士生须经导师审核（课程学习、科研成果、读书报告等）、同意方可参加资格考核。</w:t>
      </w:r>
    </w:p>
    <w:p>
      <w:pPr>
        <w:pStyle w:val="9"/>
        <w:shd w:val="clear" w:color="auto" w:fill="FFFFFF"/>
        <w:tabs>
          <w:tab w:val="left" w:pos="720"/>
        </w:tabs>
        <w:ind w:left="720" w:firstLine="0" w:firstLineChars="0"/>
        <w:rPr>
          <w:rFonts w:ascii="宋体" w:hAnsi="宋体" w:cs="宋体"/>
          <w:bCs/>
          <w:kern w:val="0"/>
          <w:szCs w:val="21"/>
        </w:rPr>
      </w:pPr>
      <w:r>
        <w:rPr>
          <w:rFonts w:hint="eastAsia" w:ascii="宋体" w:hAnsi="宋体" w:cs="宋体"/>
          <w:bCs/>
          <w:kern w:val="0"/>
          <w:szCs w:val="21"/>
        </w:rPr>
        <w:t>（2）由本专业5位教师组成考核小组，在已定30种书目范围内，以现场答问（笔</w:t>
      </w:r>
    </w:p>
    <w:p>
      <w:pPr>
        <w:pStyle w:val="9"/>
        <w:shd w:val="clear" w:color="auto" w:fill="FFFFFF"/>
        <w:tabs>
          <w:tab w:val="left" w:pos="720"/>
        </w:tabs>
        <w:ind w:left="720"/>
        <w:rPr>
          <w:rFonts w:ascii="宋体" w:hAnsi="宋体" w:cs="宋体"/>
          <w:bCs/>
          <w:kern w:val="0"/>
          <w:szCs w:val="21"/>
        </w:rPr>
      </w:pPr>
      <w:r>
        <w:rPr>
          <w:rFonts w:hint="eastAsia" w:ascii="宋体" w:hAnsi="宋体" w:cs="宋体"/>
          <w:bCs/>
          <w:kern w:val="0"/>
          <w:szCs w:val="21"/>
        </w:rPr>
        <w:t>试、口试）方式进行考核。考核成绩分优秀、通过、不通过三种。</w:t>
      </w:r>
    </w:p>
    <w:p>
      <w:pPr>
        <w:pStyle w:val="9"/>
        <w:shd w:val="clear" w:color="auto" w:fill="FFFFFF"/>
        <w:tabs>
          <w:tab w:val="left" w:pos="720"/>
        </w:tabs>
        <w:rPr>
          <w:rFonts w:ascii="宋体" w:hAnsi="宋体" w:cs="宋体"/>
          <w:bCs/>
          <w:kern w:val="0"/>
          <w:szCs w:val="21"/>
        </w:rPr>
      </w:pPr>
      <w:r>
        <w:rPr>
          <w:rFonts w:hint="eastAsia" w:ascii="宋体" w:hAnsi="宋体" w:cs="宋体"/>
          <w:bCs/>
          <w:kern w:val="0"/>
          <w:szCs w:val="21"/>
        </w:rPr>
        <w:t xml:space="preserve"> </w:t>
      </w:r>
      <w:r>
        <w:rPr>
          <w:rFonts w:ascii="宋体" w:hAnsi="宋体" w:cs="宋体"/>
          <w:bCs/>
          <w:kern w:val="0"/>
          <w:szCs w:val="21"/>
        </w:rPr>
        <w:t xml:space="preserve">  </w:t>
      </w:r>
      <w:r>
        <w:rPr>
          <w:rFonts w:hint="eastAsia" w:ascii="宋体" w:hAnsi="宋体" w:cs="宋体"/>
          <w:bCs/>
          <w:kern w:val="0"/>
          <w:szCs w:val="21"/>
        </w:rPr>
        <w:t xml:space="preserve">（3）通过者获学位论文开题考核资格。开题考核方式不变。 </w:t>
      </w:r>
    </w:p>
    <w:p>
      <w:pPr>
        <w:pStyle w:val="9"/>
        <w:shd w:val="clear" w:color="auto" w:fill="FFFFFF"/>
        <w:tabs>
          <w:tab w:val="left" w:pos="720"/>
        </w:tabs>
        <w:ind w:firstLine="422"/>
        <w:rPr>
          <w:rFonts w:ascii="宋体" w:hAnsi="宋体" w:cs="宋体"/>
          <w:b/>
          <w:kern w:val="0"/>
          <w:szCs w:val="21"/>
        </w:rPr>
      </w:pPr>
      <w:r>
        <w:rPr>
          <w:rFonts w:hint="eastAsia" w:ascii="宋体" w:hAnsi="宋体" w:cs="宋体"/>
          <w:b/>
          <w:kern w:val="0"/>
          <w:szCs w:val="21"/>
        </w:rPr>
        <w:t>4</w:t>
      </w:r>
      <w:r>
        <w:rPr>
          <w:rFonts w:hint="eastAsia" w:ascii="宋体" w:hAnsi="宋体" w:cs="宋体"/>
          <w:bCs/>
          <w:kern w:val="0"/>
          <w:szCs w:val="21"/>
        </w:rPr>
        <w:t>、</w:t>
      </w:r>
      <w:r>
        <w:rPr>
          <w:rFonts w:hint="eastAsia" w:ascii="宋体" w:hAnsi="宋体" w:cs="宋体"/>
          <w:b/>
          <w:kern w:val="0"/>
          <w:szCs w:val="21"/>
        </w:rPr>
        <w:t>考核成绩评定及奖惩</w:t>
      </w:r>
    </w:p>
    <w:p>
      <w:pPr>
        <w:pStyle w:val="9"/>
        <w:numPr>
          <w:ilvl w:val="0"/>
          <w:numId w:val="0"/>
        </w:numPr>
        <w:shd w:val="clear" w:color="auto" w:fill="FFFFFF"/>
        <w:ind w:left="1050" w:leftChars="400" w:hanging="210" w:hangingChars="100"/>
        <w:rPr>
          <w:rFonts w:hint="eastAsia" w:ascii="宋体" w:hAnsi="宋体" w:cs="宋体"/>
          <w:bCs/>
          <w:kern w:val="0"/>
          <w:szCs w:val="21"/>
          <w:lang w:eastAsia="zh-CN"/>
        </w:rPr>
      </w:pPr>
      <w:r>
        <w:rPr>
          <w:rFonts w:hint="eastAsia" w:ascii="宋体" w:hAnsi="宋体" w:cs="宋体"/>
          <w:bCs/>
          <w:kern w:val="0"/>
          <w:szCs w:val="21"/>
          <w:lang w:eastAsia="zh-CN"/>
        </w:rPr>
        <w:t>（</w:t>
      </w:r>
      <w:r>
        <w:rPr>
          <w:rFonts w:hint="eastAsia" w:ascii="宋体" w:hAnsi="宋体" w:cs="宋体"/>
          <w:bCs/>
          <w:kern w:val="0"/>
          <w:szCs w:val="21"/>
          <w:lang w:val="en-US" w:eastAsia="zh-CN"/>
        </w:rPr>
        <w:t>1</w:t>
      </w:r>
      <w:r>
        <w:rPr>
          <w:rFonts w:hint="eastAsia" w:ascii="宋体" w:hAnsi="宋体" w:cs="宋体"/>
          <w:bCs/>
          <w:kern w:val="0"/>
          <w:szCs w:val="21"/>
          <w:lang w:eastAsia="zh-CN"/>
        </w:rPr>
        <w:t>）</w:t>
      </w:r>
      <w:r>
        <w:rPr>
          <w:rFonts w:hint="eastAsia" w:ascii="宋体" w:hAnsi="宋体" w:cs="宋体"/>
          <w:bCs/>
          <w:kern w:val="0"/>
          <w:szCs w:val="21"/>
        </w:rPr>
        <w:t>通过考核</w:t>
      </w:r>
      <w:r>
        <w:rPr>
          <w:rFonts w:hint="eastAsia" w:ascii="宋体" w:hAnsi="宋体" w:cs="宋体"/>
          <w:bCs/>
          <w:kern w:val="0"/>
          <w:szCs w:val="21"/>
          <w:lang w:val="en-US" w:eastAsia="zh-CN"/>
        </w:rPr>
        <w:t>的</w:t>
      </w:r>
      <w:r>
        <w:rPr>
          <w:rFonts w:hint="eastAsia" w:ascii="宋体" w:hAnsi="宋体" w:cs="宋体"/>
          <w:bCs/>
          <w:kern w:val="0"/>
          <w:szCs w:val="21"/>
        </w:rPr>
        <w:t>优秀者，原则上不高于参加考核人数的15％；未通过考核而须延</w:t>
      </w:r>
      <w:r>
        <w:rPr>
          <w:rFonts w:hint="eastAsia" w:ascii="宋体" w:hAnsi="宋体" w:cs="宋体"/>
          <w:bCs/>
          <w:kern w:val="0"/>
          <w:szCs w:val="21"/>
          <w:lang w:eastAsia="zh-CN"/>
        </w:rPr>
        <w:t>期等分流处理者，原则上不低于参加考核人数的15％。</w:t>
      </w:r>
    </w:p>
    <w:p>
      <w:pPr>
        <w:pStyle w:val="9"/>
        <w:numPr>
          <w:ilvl w:val="0"/>
          <w:numId w:val="0"/>
        </w:numPr>
        <w:shd w:val="clear" w:color="auto" w:fill="FFFFFF"/>
        <w:ind w:left="1050" w:leftChars="400" w:hanging="210" w:hangingChars="100"/>
        <w:rPr>
          <w:rFonts w:hint="default" w:ascii="宋体" w:hAnsi="宋体" w:cs="宋体"/>
          <w:bCs/>
          <w:kern w:val="0"/>
          <w:szCs w:val="21"/>
          <w:lang w:val="en-US" w:eastAsia="zh-CN"/>
        </w:rPr>
      </w:pPr>
      <w:r>
        <w:rPr>
          <w:rFonts w:hint="eastAsia" w:ascii="宋体" w:hAnsi="宋体" w:cs="宋体"/>
          <w:bCs/>
          <w:kern w:val="0"/>
          <w:szCs w:val="21"/>
          <w:lang w:eastAsia="zh-CN"/>
        </w:rPr>
        <w:t>（</w:t>
      </w:r>
      <w:r>
        <w:rPr>
          <w:rFonts w:hint="eastAsia" w:ascii="宋体" w:hAnsi="宋体" w:cs="宋体"/>
          <w:bCs/>
          <w:kern w:val="0"/>
          <w:szCs w:val="21"/>
          <w:lang w:val="en-US" w:eastAsia="zh-CN"/>
        </w:rPr>
        <w:t>2</w:t>
      </w:r>
      <w:r>
        <w:rPr>
          <w:rFonts w:hint="eastAsia" w:ascii="宋体" w:hAnsi="宋体" w:cs="宋体"/>
          <w:bCs/>
          <w:kern w:val="0"/>
          <w:szCs w:val="21"/>
          <w:lang w:eastAsia="zh-CN"/>
        </w:rPr>
        <w:t>）不通过者再次申请参加考核，须在一年之后(原则上每年安排一次考核)，</w:t>
      </w:r>
      <w:r>
        <w:rPr>
          <w:rFonts w:hint="eastAsia" w:ascii="宋体" w:hAnsi="宋体" w:cs="宋体"/>
          <w:bCs/>
          <w:kern w:val="0"/>
          <w:szCs w:val="21"/>
          <w:lang w:val="en-US" w:eastAsia="zh-CN"/>
        </w:rPr>
        <w:t>每个学生在取得学籍六年内有三次考核机会，</w:t>
      </w:r>
      <w:r>
        <w:rPr>
          <w:rFonts w:hint="eastAsia" w:ascii="宋体" w:hAnsi="宋体" w:cs="宋体"/>
          <w:bCs/>
          <w:kern w:val="0"/>
          <w:szCs w:val="21"/>
          <w:lang w:eastAsia="zh-CN"/>
        </w:rPr>
        <w:t>六年内三次参加考核未通过者，将视其为自动终止学业，予以退学，作肄业处理。</w:t>
      </w:r>
      <w:r>
        <w:rPr>
          <w:rFonts w:hint="eastAsia" w:ascii="宋体" w:hAnsi="宋体" w:cs="宋体"/>
          <w:bCs/>
          <w:kern w:val="0"/>
          <w:szCs w:val="21"/>
          <w:lang w:val="en-US" w:eastAsia="zh-CN"/>
        </w:rPr>
        <w:t>具体要求参见《南京大学文学院博士生资格考核方案》。</w:t>
      </w:r>
    </w:p>
    <w:p>
      <w:pPr>
        <w:widowControl/>
        <w:snapToGrid w:val="0"/>
        <w:rPr>
          <w:rFonts w:ascii="宋体" w:hAnsi="宋体" w:cs="宋体"/>
          <w:bCs/>
          <w:kern w:val="0"/>
          <w:szCs w:val="21"/>
        </w:rPr>
      </w:pPr>
    </w:p>
    <w:p>
      <w:pPr>
        <w:widowControl/>
        <w:snapToGrid w:val="0"/>
        <w:ind w:firstLine="422" w:firstLineChars="200"/>
        <w:rPr>
          <w:rFonts w:ascii="宋体" w:hAnsi="宋体" w:eastAsia="宋体" w:cs="宋体"/>
          <w:b/>
          <w:kern w:val="0"/>
          <w:szCs w:val="21"/>
        </w:rPr>
      </w:pPr>
      <w:r>
        <w:rPr>
          <w:rFonts w:hint="eastAsia" w:ascii="宋体" w:hAnsi="宋体" w:eastAsia="宋体" w:cs="宋体"/>
          <w:b/>
          <w:kern w:val="0"/>
          <w:szCs w:val="21"/>
        </w:rPr>
        <w:t>（二）博士中期考核：</w:t>
      </w:r>
    </w:p>
    <w:p>
      <w:pPr>
        <w:widowControl/>
        <w:snapToGrid w:val="0"/>
        <w:ind w:firstLine="632" w:firstLineChars="300"/>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Cs/>
          <w:kern w:val="0"/>
          <w:szCs w:val="21"/>
        </w:rPr>
        <w:t>、</w:t>
      </w:r>
      <w:r>
        <w:rPr>
          <w:rFonts w:hint="eastAsia" w:ascii="宋体" w:hAnsi="宋体" w:eastAsia="宋体" w:cs="宋体"/>
          <w:b/>
          <w:kern w:val="0"/>
          <w:szCs w:val="21"/>
        </w:rPr>
        <w:t>博士中期考核时间</w:t>
      </w:r>
    </w:p>
    <w:p>
      <w:pPr>
        <w:widowControl/>
        <w:snapToGrid w:val="0"/>
        <w:ind w:firstLine="1050" w:firstLineChars="500"/>
        <w:rPr>
          <w:rFonts w:ascii="宋体" w:hAnsi="宋体" w:eastAsia="宋体" w:cs="宋体"/>
          <w:bCs/>
          <w:kern w:val="0"/>
          <w:szCs w:val="21"/>
        </w:rPr>
      </w:pPr>
      <w:r>
        <w:rPr>
          <w:rFonts w:hint="eastAsia" w:ascii="宋体" w:hAnsi="宋体" w:eastAsia="宋体" w:cs="宋体"/>
          <w:bCs/>
          <w:kern w:val="0"/>
          <w:szCs w:val="21"/>
        </w:rPr>
        <w:t>中期考核时间具体安排在开题报告结束以后的第五个学期中期。</w:t>
      </w:r>
    </w:p>
    <w:p>
      <w:pPr>
        <w:widowControl/>
        <w:snapToGrid w:val="0"/>
        <w:ind w:firstLine="632" w:firstLineChars="300"/>
        <w:rPr>
          <w:rFonts w:ascii="宋体" w:hAnsi="宋体" w:eastAsia="宋体" w:cs="宋体"/>
          <w:b/>
          <w:kern w:val="0"/>
          <w:szCs w:val="21"/>
        </w:rPr>
      </w:pPr>
      <w:bookmarkStart w:id="3" w:name="_Hlk44833345"/>
      <w:r>
        <w:rPr>
          <w:rFonts w:hint="eastAsia" w:ascii="宋体" w:hAnsi="宋体" w:eastAsia="宋体" w:cs="宋体"/>
          <w:b/>
          <w:kern w:val="0"/>
          <w:szCs w:val="21"/>
        </w:rPr>
        <w:t>2</w:t>
      </w:r>
      <w:r>
        <w:rPr>
          <w:rFonts w:hint="eastAsia" w:ascii="宋体" w:hAnsi="宋体" w:eastAsia="宋体" w:cs="宋体"/>
          <w:bCs/>
          <w:kern w:val="0"/>
          <w:szCs w:val="21"/>
        </w:rPr>
        <w:t>、</w:t>
      </w:r>
      <w:r>
        <w:rPr>
          <w:rFonts w:hint="eastAsia" w:ascii="宋体" w:hAnsi="宋体" w:eastAsia="宋体" w:cs="宋体"/>
          <w:b/>
          <w:kern w:val="0"/>
          <w:szCs w:val="21"/>
        </w:rPr>
        <w:t>博士中期考核方式</w:t>
      </w:r>
      <w:bookmarkEnd w:id="3"/>
    </w:p>
    <w:p>
      <w:pPr>
        <w:widowControl/>
        <w:snapToGrid w:val="0"/>
        <w:ind w:firstLine="1050" w:firstLineChars="500"/>
        <w:rPr>
          <w:rFonts w:ascii="宋体" w:hAnsi="宋体" w:eastAsia="宋体" w:cs="宋体"/>
          <w:bCs/>
          <w:kern w:val="0"/>
          <w:szCs w:val="21"/>
        </w:rPr>
      </w:pPr>
      <w:r>
        <w:rPr>
          <w:rFonts w:hint="eastAsia" w:ascii="宋体" w:hAnsi="宋体" w:eastAsia="宋体" w:cs="宋体"/>
          <w:bCs/>
          <w:kern w:val="0"/>
          <w:szCs w:val="21"/>
        </w:rPr>
        <w:t>博士中期考核方式为导师组</w:t>
      </w:r>
      <w:r>
        <w:rPr>
          <w:rFonts w:hint="eastAsia" w:ascii="宋体" w:hAnsi="宋体" w:eastAsia="宋体" w:cs="宋体"/>
          <w:bCs/>
          <w:kern w:val="0"/>
          <w:szCs w:val="21"/>
          <w:lang w:val="en-US" w:eastAsia="zh-CN"/>
        </w:rPr>
        <w:t>考核</w:t>
      </w:r>
      <w:r>
        <w:rPr>
          <w:rFonts w:hint="eastAsia" w:ascii="宋体" w:hAnsi="宋体" w:eastAsia="宋体" w:cs="宋体"/>
          <w:bCs/>
          <w:kern w:val="0"/>
          <w:szCs w:val="21"/>
        </w:rPr>
        <w:t>，由导师和另外两个本专业教授组成。</w:t>
      </w:r>
    </w:p>
    <w:p>
      <w:pPr>
        <w:widowControl/>
        <w:snapToGrid w:val="0"/>
        <w:ind w:firstLine="632" w:firstLineChars="300"/>
        <w:rPr>
          <w:rFonts w:hint="eastAsia" w:ascii="宋体" w:hAnsi="宋体" w:eastAsia="宋体" w:cs="宋体"/>
          <w:b/>
          <w:kern w:val="0"/>
          <w:szCs w:val="21"/>
          <w:lang w:val="en-US" w:eastAsia="zh-CN"/>
        </w:rPr>
      </w:pPr>
      <w:r>
        <w:rPr>
          <w:rFonts w:hint="eastAsia" w:ascii="宋体" w:hAnsi="宋体" w:eastAsia="宋体" w:cs="宋体"/>
          <w:b/>
          <w:kern w:val="0"/>
          <w:szCs w:val="21"/>
        </w:rPr>
        <w:t>3</w:t>
      </w:r>
      <w:r>
        <w:rPr>
          <w:rFonts w:hint="eastAsia" w:ascii="宋体" w:hAnsi="宋体" w:eastAsia="宋体" w:cs="宋体"/>
          <w:bCs/>
          <w:kern w:val="0"/>
          <w:szCs w:val="21"/>
        </w:rPr>
        <w:t>、</w:t>
      </w:r>
      <w:r>
        <w:rPr>
          <w:rFonts w:hint="eastAsia" w:ascii="宋体" w:hAnsi="宋体" w:eastAsia="宋体" w:cs="宋体"/>
          <w:b/>
          <w:kern w:val="0"/>
          <w:szCs w:val="21"/>
        </w:rPr>
        <w:t>博士中期考核</w:t>
      </w:r>
      <w:r>
        <w:rPr>
          <w:rFonts w:hint="eastAsia" w:ascii="宋体" w:hAnsi="宋体" w:eastAsia="宋体" w:cs="宋体"/>
          <w:b/>
          <w:kern w:val="0"/>
          <w:szCs w:val="21"/>
          <w:lang w:val="en-US" w:eastAsia="zh-CN"/>
        </w:rPr>
        <w:t>内容</w:t>
      </w:r>
    </w:p>
    <w:p>
      <w:pPr>
        <w:widowControl/>
        <w:snapToGrid w:val="0"/>
        <w:ind w:firstLine="1050" w:firstLineChars="500"/>
        <w:rPr>
          <w:rFonts w:ascii="宋体" w:hAnsi="宋体" w:eastAsia="宋体" w:cs="宋体"/>
          <w:bCs/>
          <w:kern w:val="0"/>
          <w:szCs w:val="21"/>
        </w:rPr>
      </w:pPr>
      <w:r>
        <w:rPr>
          <w:rFonts w:hint="eastAsia" w:ascii="宋体" w:hAnsi="宋体" w:eastAsia="宋体" w:cs="宋体"/>
          <w:bCs/>
          <w:kern w:val="0"/>
          <w:szCs w:val="21"/>
        </w:rPr>
        <w:t>博士中期考核内容为考察学生论文的准备情况、进展情况。</w:t>
      </w:r>
    </w:p>
    <w:p>
      <w:pPr>
        <w:widowControl/>
        <w:snapToGrid w:val="0"/>
        <w:rPr>
          <w:rFonts w:ascii="宋体" w:hAnsi="宋体"/>
          <w:kern w:val="0"/>
          <w:szCs w:val="21"/>
        </w:rPr>
      </w:pPr>
    </w:p>
    <w:p>
      <w:pPr>
        <w:rPr>
          <w:rFonts w:ascii="黑体" w:hAnsi="黑体" w:eastAsia="黑体"/>
          <w:b/>
          <w:bCs/>
          <w:kern w:val="0"/>
          <w:sz w:val="24"/>
          <w:szCs w:val="24"/>
        </w:rPr>
      </w:pPr>
      <w:r>
        <w:rPr>
          <w:rFonts w:hint="eastAsia" w:ascii="黑体" w:hAnsi="黑体" w:eastAsia="黑体"/>
          <w:b/>
          <w:bCs/>
          <w:kern w:val="0"/>
          <w:sz w:val="24"/>
          <w:szCs w:val="24"/>
          <w:lang w:val="en-US" w:eastAsia="zh-CN"/>
        </w:rPr>
        <w:t>七</w:t>
      </w:r>
      <w:r>
        <w:rPr>
          <w:rFonts w:hint="eastAsia" w:ascii="黑体" w:hAnsi="黑体" w:eastAsia="黑体"/>
          <w:b/>
          <w:bCs/>
          <w:kern w:val="0"/>
          <w:sz w:val="24"/>
          <w:szCs w:val="24"/>
        </w:rPr>
        <w:t>．学位论文与答辩</w:t>
      </w:r>
    </w:p>
    <w:p>
      <w:pPr>
        <w:widowControl/>
        <w:snapToGrid w:val="0"/>
        <w:ind w:left="420"/>
        <w:rPr>
          <w:rFonts w:ascii="宋体" w:hAnsi="宋体"/>
          <w:b/>
          <w:bCs/>
          <w:kern w:val="0"/>
          <w:szCs w:val="21"/>
        </w:rPr>
      </w:pPr>
      <w:r>
        <w:rPr>
          <w:rFonts w:hint="eastAsia" w:ascii="宋体" w:hAnsi="宋体"/>
          <w:b/>
          <w:bCs/>
          <w:kern w:val="0"/>
          <w:szCs w:val="21"/>
        </w:rPr>
        <w:t>1、开题报告</w:t>
      </w:r>
    </w:p>
    <w:p>
      <w:pPr>
        <w:widowControl/>
        <w:snapToGrid w:val="0"/>
        <w:ind w:left="420"/>
        <w:rPr>
          <w:rFonts w:ascii="宋体" w:hAnsi="宋体"/>
          <w:kern w:val="0"/>
          <w:szCs w:val="21"/>
        </w:rPr>
      </w:pPr>
      <w:r>
        <w:rPr>
          <w:rFonts w:hint="eastAsia" w:ascii="宋体" w:hAnsi="宋体"/>
          <w:kern w:val="0"/>
          <w:szCs w:val="21"/>
        </w:rPr>
        <w:t>博士生学位论文开题报告应在资格考核结束后进行，时间安排在第三学期中期。指导教师应在论文阶段及时检查论文的可行性，确保论文如期完成。</w:t>
      </w:r>
    </w:p>
    <w:p>
      <w:pPr>
        <w:shd w:val="clear" w:color="auto" w:fill="FFFFFF"/>
        <w:ind w:firstLine="420" w:firstLineChars="200"/>
        <w:rPr>
          <w:rFonts w:ascii="宋体" w:hAnsi="宋体"/>
          <w:b/>
          <w:bCs/>
          <w:kern w:val="0"/>
          <w:szCs w:val="21"/>
        </w:rPr>
      </w:pPr>
      <w:r>
        <w:rPr>
          <w:rFonts w:hint="eastAsia" w:ascii="宋体" w:hAnsi="宋体"/>
          <w:b/>
          <w:bCs/>
          <w:kern w:val="0"/>
          <w:szCs w:val="21"/>
        </w:rPr>
        <w:t>2、论文预审/预答辩</w:t>
      </w:r>
    </w:p>
    <w:p>
      <w:pPr>
        <w:shd w:val="clear" w:color="auto" w:fill="FFFFFF"/>
        <w:ind w:firstLine="420" w:firstLineChars="200"/>
        <w:rPr>
          <w:rFonts w:ascii="宋体" w:hAnsi="宋体" w:cs="宋体"/>
          <w:bCs/>
          <w:kern w:val="0"/>
          <w:szCs w:val="21"/>
        </w:rPr>
      </w:pPr>
      <w:r>
        <w:rPr>
          <w:rFonts w:hint="eastAsia" w:ascii="宋体" w:hAnsi="宋体"/>
          <w:kern w:val="0"/>
          <w:szCs w:val="21"/>
        </w:rPr>
        <w:t>学位论文答辩前，应进行论文预审或预答辩。（此环节配合</w:t>
      </w:r>
      <w:r>
        <w:rPr>
          <w:rFonts w:hint="eastAsia" w:ascii="宋体" w:hAnsi="宋体" w:cs="宋体"/>
          <w:bCs/>
          <w:kern w:val="0"/>
          <w:szCs w:val="21"/>
        </w:rPr>
        <w:t>学校论文抽检\盲审制度进</w:t>
      </w:r>
    </w:p>
    <w:p>
      <w:pPr>
        <w:shd w:val="clear" w:color="auto" w:fill="FFFFFF"/>
        <w:ind w:firstLine="420" w:firstLineChars="200"/>
        <w:rPr>
          <w:rFonts w:ascii="宋体" w:hAnsi="宋体"/>
          <w:kern w:val="0"/>
          <w:szCs w:val="21"/>
        </w:rPr>
      </w:pPr>
      <w:r>
        <w:rPr>
          <w:rFonts w:hint="eastAsia" w:ascii="宋体" w:hAnsi="宋体" w:cs="宋体"/>
          <w:bCs/>
          <w:kern w:val="0"/>
          <w:szCs w:val="21"/>
        </w:rPr>
        <w:t xml:space="preserve">行。） </w:t>
      </w:r>
    </w:p>
    <w:p>
      <w:pPr>
        <w:pStyle w:val="9"/>
        <w:numPr>
          <w:ilvl w:val="0"/>
          <w:numId w:val="3"/>
        </w:numPr>
        <w:shd w:val="clear" w:color="auto" w:fill="FFFFFF"/>
        <w:ind w:firstLineChars="0"/>
        <w:jc w:val="left"/>
        <w:rPr>
          <w:rFonts w:ascii="宋体" w:hAnsi="宋体" w:cs="宋体"/>
          <w:bCs/>
          <w:kern w:val="0"/>
          <w:szCs w:val="21"/>
        </w:rPr>
      </w:pPr>
      <w:r>
        <w:rPr>
          <w:rFonts w:hint="eastAsia" w:ascii="宋体" w:hAnsi="宋体" w:cs="宋体"/>
          <w:bCs/>
          <w:kern w:val="0"/>
          <w:szCs w:val="21"/>
        </w:rPr>
        <w:t>学位论文答辩前，由校研究生院对提出申请答辩的论文随机抽检盲审。</w:t>
      </w:r>
    </w:p>
    <w:p>
      <w:pPr>
        <w:pStyle w:val="9"/>
        <w:numPr>
          <w:ilvl w:val="0"/>
          <w:numId w:val="3"/>
        </w:numPr>
        <w:shd w:val="clear" w:color="auto" w:fill="FFFFFF"/>
        <w:ind w:firstLineChars="0"/>
        <w:jc w:val="left"/>
        <w:rPr>
          <w:rFonts w:ascii="宋体" w:hAnsi="宋体" w:cs="宋体"/>
          <w:bCs/>
          <w:kern w:val="0"/>
          <w:szCs w:val="21"/>
        </w:rPr>
      </w:pPr>
      <w:r>
        <w:rPr>
          <w:rFonts w:hint="eastAsia" w:ascii="宋体" w:hAnsi="宋体" w:cs="宋体"/>
          <w:bCs/>
          <w:kern w:val="0"/>
          <w:szCs w:val="21"/>
        </w:rPr>
        <w:t>未被研究生院抽中者，其论文须由本专业邀请校内\外三位专家预审，全部通过者可予答辩。一票未通过者，须修改后再次预审，并酌情决定（缓期）答辩时间。</w:t>
      </w:r>
    </w:p>
    <w:p>
      <w:pPr>
        <w:widowControl/>
        <w:snapToGrid w:val="0"/>
        <w:ind w:firstLine="420" w:firstLineChars="200"/>
        <w:rPr>
          <w:rFonts w:ascii="宋体" w:hAnsi="宋体"/>
          <w:b/>
          <w:bCs/>
          <w:kern w:val="0"/>
          <w:szCs w:val="21"/>
        </w:rPr>
      </w:pPr>
      <w:r>
        <w:rPr>
          <w:rFonts w:hint="eastAsia" w:ascii="宋体" w:hAnsi="宋体"/>
          <w:b/>
          <w:bCs/>
          <w:kern w:val="0"/>
          <w:szCs w:val="21"/>
        </w:rPr>
        <w:t>３、论文答辩</w:t>
      </w:r>
    </w:p>
    <w:p>
      <w:pPr>
        <w:widowControl/>
        <w:snapToGrid w:val="0"/>
        <w:ind w:left="420" w:firstLine="435"/>
        <w:rPr>
          <w:kern w:val="0"/>
          <w:szCs w:val="21"/>
        </w:rPr>
      </w:pPr>
      <w:r>
        <w:rPr>
          <w:rFonts w:hint="eastAsia" w:ascii="宋体" w:hAnsi="宋体"/>
          <w:kern w:val="0"/>
          <w:szCs w:val="21"/>
        </w:rPr>
        <w:t>博士学位论文应当表明作者具有独立从事科学研究工作的能力，并在专业领域内体现创造性的成果。</w:t>
      </w:r>
    </w:p>
    <w:p>
      <w:pPr>
        <w:rPr>
          <w:rFonts w:ascii="宋体" w:hAnsi="宋体"/>
          <w:b/>
          <w:bCs/>
          <w:kern w:val="0"/>
          <w:sz w:val="24"/>
          <w:szCs w:val="24"/>
        </w:rPr>
      </w:pPr>
      <w:r>
        <w:rPr>
          <w:rFonts w:hint="eastAsia" w:ascii="宋体" w:hAnsi="宋体"/>
          <w:kern w:val="0"/>
          <w:szCs w:val="21"/>
        </w:rPr>
        <w:t>博士学位的论文答辩应当公开举行。博士学位论文答辩不合格者，经论文答辩委员会同意，可在两年内修改，重新答辩一次。博士学位论文答辩合格者，授予博士学位。</w:t>
      </w:r>
    </w:p>
    <w:p>
      <w:pPr>
        <w:rPr>
          <w:rFonts w:ascii="黑体" w:hAnsi="黑体" w:eastAsia="黑体"/>
          <w:b/>
          <w:bCs/>
          <w:kern w:val="0"/>
          <w:sz w:val="24"/>
          <w:szCs w:val="24"/>
        </w:rPr>
      </w:pPr>
    </w:p>
    <w:p>
      <w:pPr>
        <w:rPr>
          <w:rFonts w:ascii="黑体" w:hAnsi="黑体" w:eastAsia="黑体"/>
          <w:b/>
          <w:bCs/>
          <w:kern w:val="0"/>
          <w:sz w:val="24"/>
          <w:szCs w:val="24"/>
        </w:rPr>
      </w:pPr>
      <w:r>
        <w:rPr>
          <w:rFonts w:hint="eastAsia" w:ascii="黑体" w:hAnsi="黑体" w:eastAsia="黑体"/>
          <w:b/>
          <w:bCs/>
          <w:kern w:val="0"/>
          <w:sz w:val="24"/>
          <w:szCs w:val="24"/>
          <w:lang w:val="en-US" w:eastAsia="zh-CN"/>
        </w:rPr>
        <w:t>八</w:t>
      </w:r>
      <w:r>
        <w:rPr>
          <w:rFonts w:hint="eastAsia" w:ascii="黑体" w:hAnsi="黑体" w:eastAsia="黑体"/>
          <w:b/>
          <w:bCs/>
          <w:kern w:val="0"/>
          <w:sz w:val="24"/>
          <w:szCs w:val="24"/>
        </w:rPr>
        <w:t>．评价机制（文学院博士学位授予标准）：</w:t>
      </w:r>
    </w:p>
    <w:p>
      <w:pPr>
        <w:pStyle w:val="10"/>
        <w:ind w:firstLineChars="0"/>
        <w:rPr>
          <w:rFonts w:ascii="宋体" w:hAnsi="宋体"/>
          <w:szCs w:val="21"/>
        </w:rPr>
      </w:pPr>
      <w:r>
        <w:rPr>
          <w:rFonts w:hint="eastAsia" w:ascii="宋体" w:hAnsi="宋体"/>
          <w:szCs w:val="21"/>
        </w:rPr>
        <w:t>1.通过博士生资格考核（第三学期初）。</w:t>
      </w:r>
    </w:p>
    <w:p>
      <w:pPr>
        <w:pStyle w:val="10"/>
        <w:ind w:left="420" w:firstLine="0" w:firstLineChars="0"/>
        <w:rPr>
          <w:rFonts w:ascii="宋体" w:hAnsi="宋体"/>
          <w:szCs w:val="21"/>
        </w:rPr>
      </w:pPr>
      <w:r>
        <w:rPr>
          <w:rFonts w:hint="eastAsia" w:ascii="宋体" w:hAnsi="宋体"/>
          <w:szCs w:val="21"/>
        </w:rPr>
        <w:t>2.修完规定的课程。</w:t>
      </w:r>
    </w:p>
    <w:p>
      <w:pPr>
        <w:pStyle w:val="10"/>
        <w:ind w:firstLineChars="0"/>
        <w:rPr>
          <w:rFonts w:ascii="宋体" w:hAnsi="宋体"/>
          <w:szCs w:val="21"/>
        </w:rPr>
      </w:pPr>
      <w:r>
        <w:rPr>
          <w:rFonts w:hint="eastAsia" w:ascii="宋体" w:hAnsi="宋体"/>
          <w:szCs w:val="21"/>
        </w:rPr>
        <w:t>3.通过博士论文答辩。</w:t>
      </w:r>
    </w:p>
    <w:p>
      <w:pPr>
        <w:pStyle w:val="10"/>
        <w:ind w:left="420" w:firstLine="0" w:firstLineChars="0"/>
        <w:rPr>
          <w:rFonts w:ascii="宋体" w:hAnsi="宋体"/>
          <w:szCs w:val="21"/>
        </w:rPr>
      </w:pPr>
      <w:r>
        <w:rPr>
          <w:rFonts w:hint="eastAsia" w:ascii="宋体" w:hAnsi="宋体"/>
          <w:szCs w:val="21"/>
        </w:rPr>
        <w:t>4.取得规定的学术研究成果：</w:t>
      </w:r>
    </w:p>
    <w:p>
      <w:pPr>
        <w:pStyle w:val="10"/>
        <w:numPr>
          <w:ilvl w:val="0"/>
          <w:numId w:val="4"/>
        </w:numPr>
        <w:ind w:firstLineChars="0"/>
        <w:rPr>
          <w:rFonts w:ascii="宋体" w:hAnsi="宋体"/>
          <w:szCs w:val="21"/>
        </w:rPr>
      </w:pPr>
      <w:r>
        <w:rPr>
          <w:rFonts w:hint="eastAsia" w:ascii="宋体" w:hAnsi="宋体"/>
          <w:szCs w:val="21"/>
        </w:rPr>
        <w:t>发表CSSCI论文2篇或一流权威刊物论文1篇或SSCI\A&amp;HCI论文1篇。</w:t>
      </w:r>
    </w:p>
    <w:p>
      <w:pPr>
        <w:pStyle w:val="10"/>
        <w:numPr>
          <w:ilvl w:val="0"/>
          <w:numId w:val="4"/>
        </w:numPr>
        <w:ind w:firstLineChars="0"/>
        <w:rPr>
          <w:rFonts w:ascii="宋体" w:hAnsi="宋体"/>
          <w:szCs w:val="21"/>
        </w:rPr>
      </w:pPr>
      <w:r>
        <w:rPr>
          <w:rFonts w:hint="eastAsia" w:ascii="宋体" w:hAnsi="宋体"/>
          <w:szCs w:val="21"/>
        </w:rPr>
        <w:t>发表1篇CSSCI论文，2篇CSSCI扩展版论文。</w:t>
      </w:r>
    </w:p>
    <w:p>
      <w:pPr>
        <w:pStyle w:val="10"/>
        <w:numPr>
          <w:ilvl w:val="0"/>
          <w:numId w:val="4"/>
        </w:numPr>
        <w:ind w:firstLineChars="0"/>
        <w:rPr>
          <w:rFonts w:ascii="宋体" w:hAnsi="宋体"/>
          <w:szCs w:val="21"/>
        </w:rPr>
      </w:pPr>
      <w:r>
        <w:rPr>
          <w:rFonts w:hint="eastAsia" w:ascii="宋体" w:hAnsi="宋体"/>
          <w:szCs w:val="21"/>
        </w:rPr>
        <w:t>发表1篇CSSCI论文，并在全国博士生论坛上获得三等奖以上（含三等奖），或参加国际学术会议并发表会议论文，或取得校级以上（含校级）博士研究生创新项目资助。</w:t>
      </w:r>
    </w:p>
    <w:p>
      <w:pPr>
        <w:rPr>
          <w:rFonts w:ascii="宋体" w:hAnsi="宋体"/>
          <w:szCs w:val="21"/>
        </w:rPr>
      </w:pPr>
    </w:p>
    <w:p>
      <w:pPr>
        <w:rPr>
          <w:rFonts w:ascii="黑体" w:hAnsi="黑体" w:eastAsia="黑体"/>
          <w:b/>
          <w:bCs/>
          <w:sz w:val="24"/>
          <w:szCs w:val="24"/>
        </w:rPr>
      </w:pPr>
      <w:r>
        <w:rPr>
          <w:rFonts w:hint="eastAsia" w:ascii="黑体" w:hAnsi="黑体" w:eastAsia="黑体"/>
          <w:b/>
          <w:bCs/>
          <w:sz w:val="24"/>
          <w:szCs w:val="24"/>
          <w:lang w:val="en-US" w:eastAsia="zh-CN"/>
        </w:rPr>
        <w:t>九</w:t>
      </w:r>
      <w:r>
        <w:rPr>
          <w:rFonts w:hint="eastAsia" w:ascii="黑体" w:hAnsi="黑体" w:eastAsia="黑体"/>
          <w:b/>
          <w:bCs/>
          <w:sz w:val="24"/>
          <w:szCs w:val="24"/>
        </w:rPr>
        <w:t>．硕博连读与直博：</w:t>
      </w:r>
    </w:p>
    <w:p>
      <w:pPr>
        <w:ind w:firstLine="480"/>
        <w:rPr>
          <w:rFonts w:ascii="宋体" w:hAnsi="宋体"/>
          <w:szCs w:val="21"/>
        </w:rPr>
      </w:pPr>
      <w:r>
        <w:rPr>
          <w:rFonts w:hint="eastAsia" w:ascii="黑体" w:hAnsi="黑体" w:eastAsia="黑体"/>
          <w:b/>
          <w:bCs/>
          <w:sz w:val="24"/>
          <w:szCs w:val="24"/>
        </w:rPr>
        <w:t>1.</w:t>
      </w:r>
      <w:r>
        <w:rPr>
          <w:rFonts w:hint="eastAsia" w:ascii="宋体" w:hAnsi="宋体"/>
          <w:b/>
          <w:bCs/>
          <w:szCs w:val="21"/>
        </w:rPr>
        <w:t>硕博连读：</w:t>
      </w:r>
      <w:r>
        <w:rPr>
          <w:rFonts w:hint="eastAsia" w:ascii="宋体" w:hAnsi="宋体"/>
          <w:szCs w:val="21"/>
        </w:rPr>
        <w:t>学制：5—8年，要求：硕士中期考核（第3学期初）必须达到优秀，经</w:t>
      </w:r>
    </w:p>
    <w:p>
      <w:pPr>
        <w:ind w:firstLine="480"/>
        <w:rPr>
          <w:rFonts w:ascii="宋体" w:hAnsi="宋体"/>
          <w:szCs w:val="21"/>
        </w:rPr>
      </w:pPr>
      <w:r>
        <w:rPr>
          <w:rFonts w:hint="eastAsia" w:ascii="宋体" w:hAnsi="宋体"/>
          <w:szCs w:val="21"/>
        </w:rPr>
        <w:t>文学院和研究生院审批后从入学第3学年（第5学期）开始转为博士研究生。从第3</w:t>
      </w:r>
    </w:p>
    <w:p>
      <w:pPr>
        <w:ind w:firstLine="480"/>
        <w:rPr>
          <w:rFonts w:ascii="宋体" w:hAnsi="宋体"/>
          <w:szCs w:val="21"/>
        </w:rPr>
      </w:pPr>
      <w:r>
        <w:rPr>
          <w:rFonts w:hint="eastAsia" w:ascii="宋体" w:hAnsi="宋体"/>
          <w:szCs w:val="21"/>
        </w:rPr>
        <w:t>学期始，导师必须加强对硕博连读学生的学术论文写作的训练和指导。硕博连读学生</w:t>
      </w:r>
    </w:p>
    <w:p>
      <w:pPr>
        <w:ind w:firstLine="480"/>
        <w:rPr>
          <w:rFonts w:ascii="宋体" w:hAnsi="宋体"/>
          <w:szCs w:val="21"/>
        </w:rPr>
      </w:pPr>
      <w:r>
        <w:rPr>
          <w:rFonts w:hint="eastAsia" w:ascii="宋体" w:hAnsi="宋体"/>
          <w:szCs w:val="21"/>
        </w:rPr>
        <w:t>从第4学期开始修读博士阶段课程。第5学期初参加博士资格考核，第5学期中期进</w:t>
      </w:r>
    </w:p>
    <w:p>
      <w:pPr>
        <w:ind w:firstLine="480"/>
        <w:rPr>
          <w:rFonts w:ascii="宋体" w:hAnsi="宋体"/>
          <w:szCs w:val="21"/>
        </w:rPr>
      </w:pPr>
      <w:r>
        <w:rPr>
          <w:rFonts w:hint="eastAsia" w:ascii="宋体" w:hAnsi="宋体"/>
          <w:szCs w:val="21"/>
        </w:rPr>
        <w:t>行博士论文开题。</w:t>
      </w:r>
    </w:p>
    <w:p>
      <w:pPr>
        <w:rPr>
          <w:rFonts w:ascii="宋体" w:hAnsi="宋体"/>
          <w:szCs w:val="21"/>
        </w:rPr>
      </w:pPr>
      <w:r>
        <w:rPr>
          <w:rFonts w:hint="eastAsia" w:ascii="宋体" w:hAnsi="宋体"/>
          <w:b/>
          <w:bCs/>
          <w:szCs w:val="21"/>
        </w:rPr>
        <w:t xml:space="preserve">     2.直博生：</w:t>
      </w:r>
      <w:r>
        <w:rPr>
          <w:rFonts w:hint="eastAsia" w:ascii="宋体" w:hAnsi="宋体"/>
          <w:szCs w:val="21"/>
        </w:rPr>
        <w:t>学制：5—8年，要求：入学第一年修完硕士阶段的课程，在导师指导下，</w:t>
      </w:r>
    </w:p>
    <w:p>
      <w:pPr>
        <w:ind w:firstLine="420" w:firstLineChars="200"/>
        <w:rPr>
          <w:rFonts w:ascii="宋体" w:hAnsi="宋体"/>
          <w:szCs w:val="21"/>
        </w:rPr>
      </w:pPr>
      <w:r>
        <w:rPr>
          <w:rFonts w:hint="eastAsia" w:ascii="宋体" w:hAnsi="宋体"/>
          <w:szCs w:val="21"/>
        </w:rPr>
        <w:t>加强学术论文的写作训练。第二学年修完博士阶段相关课程，第三学年初（第5学期初）</w:t>
      </w:r>
    </w:p>
    <w:p>
      <w:pPr>
        <w:ind w:firstLine="420" w:firstLineChars="200"/>
        <w:rPr>
          <w:rFonts w:ascii="宋体" w:hAnsi="宋体"/>
          <w:szCs w:val="21"/>
        </w:rPr>
      </w:pPr>
      <w:r>
        <w:rPr>
          <w:rFonts w:hint="eastAsia" w:ascii="宋体" w:hAnsi="宋体"/>
          <w:szCs w:val="21"/>
        </w:rPr>
        <w:t>参加博士生资格考核，第5学期中期进行博士论文开题。</w:t>
      </w:r>
    </w:p>
    <w:p>
      <w:pPr>
        <w:rPr>
          <w:rFonts w:ascii="黑体" w:hAnsi="黑体" w:eastAsia="黑体"/>
          <w:sz w:val="32"/>
          <w:szCs w:val="32"/>
        </w:rPr>
      </w:pPr>
    </w:p>
    <w:p>
      <w:pPr>
        <w:rPr>
          <w:rFonts w:ascii="黑体" w:hAnsi="黑体" w:eastAsia="黑体"/>
          <w:b/>
          <w:bCs/>
          <w:sz w:val="24"/>
          <w:szCs w:val="24"/>
        </w:rPr>
      </w:pPr>
    </w:p>
    <w:p>
      <w:pPr>
        <w:ind w:firstLine="4498" w:firstLineChars="1600"/>
        <w:rPr>
          <w:rFonts w:ascii="黑体" w:hAnsi="黑体" w:eastAsia="黑体"/>
          <w:b/>
          <w:bCs/>
          <w:sz w:val="28"/>
          <w:szCs w:val="28"/>
        </w:rPr>
      </w:pPr>
      <w:r>
        <w:rPr>
          <w:rFonts w:hint="eastAsia" w:ascii="黑体" w:hAnsi="黑体" w:eastAsia="黑体"/>
          <w:b/>
          <w:bCs/>
          <w:sz w:val="28"/>
          <w:szCs w:val="28"/>
        </w:rPr>
        <w:t>南京大学文学院学位委员会</w:t>
      </w:r>
    </w:p>
    <w:p>
      <w:pPr>
        <w:ind w:firstLine="435"/>
        <w:rPr>
          <w:rFonts w:ascii="黑体" w:hAnsi="黑体" w:eastAsia="黑体"/>
          <w:b/>
          <w:bCs/>
          <w:sz w:val="28"/>
          <w:szCs w:val="28"/>
        </w:rPr>
      </w:pPr>
      <w:r>
        <w:rPr>
          <w:rFonts w:hint="eastAsia" w:ascii="黑体" w:hAnsi="黑体" w:eastAsia="黑体"/>
          <w:b/>
          <w:bCs/>
          <w:sz w:val="28"/>
          <w:szCs w:val="28"/>
        </w:rPr>
        <w:t xml:space="preserve">                                 2020年6月23日</w:t>
      </w:r>
    </w:p>
    <w:tbl>
      <w:tblPr>
        <w:tblStyle w:val="6"/>
        <w:tblpPr w:leftFromText="180" w:rightFromText="180" w:horzAnchor="margin" w:tblpXSpec="center" w:tblpY="-1440"/>
        <w:tblW w:w="11758" w:type="dxa"/>
        <w:tblInd w:w="0" w:type="dxa"/>
        <w:tblLayout w:type="fixed"/>
        <w:tblCellMar>
          <w:top w:w="0" w:type="dxa"/>
          <w:left w:w="108" w:type="dxa"/>
          <w:bottom w:w="0" w:type="dxa"/>
          <w:right w:w="108" w:type="dxa"/>
        </w:tblCellMar>
      </w:tblPr>
      <w:tblGrid>
        <w:gridCol w:w="11758"/>
      </w:tblGrid>
      <w:tr>
        <w:tblPrEx>
          <w:tblCellMar>
            <w:top w:w="0" w:type="dxa"/>
            <w:left w:w="108" w:type="dxa"/>
            <w:bottom w:w="0" w:type="dxa"/>
            <w:right w:w="108" w:type="dxa"/>
          </w:tblCellMar>
        </w:tblPrEx>
        <w:trPr>
          <w:trHeight w:val="375" w:hRule="atLeast"/>
        </w:trPr>
        <w:tc>
          <w:tcPr>
            <w:tcW w:w="11758" w:type="dxa"/>
            <w:vAlign w:val="center"/>
          </w:tcPr>
          <w:p>
            <w:pPr>
              <w:widowControl/>
              <w:jc w:val="center"/>
              <w:rPr>
                <w:rFonts w:ascii="黑体" w:hAnsi="宋体" w:eastAsia="黑体" w:cs="宋体"/>
                <w:b/>
                <w:bCs/>
                <w:kern w:val="0"/>
                <w:sz w:val="30"/>
                <w:szCs w:val="30"/>
              </w:rPr>
            </w:pPr>
          </w:p>
          <w:tbl>
            <w:tblPr>
              <w:tblStyle w:val="6"/>
              <w:tblW w:w="7860" w:type="dxa"/>
              <w:tblInd w:w="0" w:type="dxa"/>
              <w:tblLayout w:type="fixed"/>
              <w:tblCellMar>
                <w:top w:w="0" w:type="dxa"/>
                <w:left w:w="108" w:type="dxa"/>
                <w:bottom w:w="0" w:type="dxa"/>
                <w:right w:w="108" w:type="dxa"/>
              </w:tblCellMar>
            </w:tblPr>
            <w:tblGrid>
              <w:gridCol w:w="10"/>
              <w:gridCol w:w="1030"/>
              <w:gridCol w:w="1590"/>
              <w:gridCol w:w="1030"/>
              <w:gridCol w:w="1030"/>
              <w:gridCol w:w="500"/>
              <w:gridCol w:w="530"/>
              <w:gridCol w:w="500"/>
              <w:gridCol w:w="610"/>
              <w:gridCol w:w="1030"/>
            </w:tblGrid>
            <w:tr>
              <w:tblPrEx>
                <w:tblCellMar>
                  <w:top w:w="0" w:type="dxa"/>
                  <w:left w:w="108" w:type="dxa"/>
                  <w:bottom w:w="0" w:type="dxa"/>
                  <w:right w:w="108" w:type="dxa"/>
                </w:tblCellMar>
              </w:tblPrEx>
              <w:trPr>
                <w:trHeight w:val="270" w:hRule="atLeast"/>
              </w:trPr>
              <w:tc>
                <w:tcPr>
                  <w:tcW w:w="1040" w:type="dxa"/>
                  <w:gridSpan w:val="2"/>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tcPr>
                <w:p>
                  <w:pPr>
                    <w:rPr>
                      <w:rFonts w:ascii="宋体" w:hAnsi="宋体" w:cs="宋体"/>
                      <w:color w:val="000000"/>
                      <w:sz w:val="20"/>
                      <w:szCs w:val="20"/>
                    </w:rPr>
                  </w:pPr>
                </w:p>
              </w:tc>
              <w:tc>
                <w:tcPr>
                  <w:tcW w:w="2060" w:type="dxa"/>
                  <w:gridSpan w:val="3"/>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500" w:type="dxa"/>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gridBefore w:val="1"/>
                <w:gridAfter w:val="1"/>
                <w:wBefore w:w="10" w:type="dxa"/>
                <w:wAfter w:w="1030" w:type="dxa"/>
                <w:trHeight w:val="270" w:hRule="atLeast"/>
              </w:trPr>
              <w:tc>
                <w:tcPr>
                  <w:tcW w:w="2620"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060" w:type="dxa"/>
                  <w:gridSpan w:val="2"/>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500"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640"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gridAfter w:val="1"/>
                <w:wBefore w:w="10" w:type="dxa"/>
                <w:wAfter w:w="1030" w:type="dxa"/>
                <w:trHeight w:val="270" w:hRule="atLeast"/>
              </w:trPr>
              <w:tc>
                <w:tcPr>
                  <w:tcW w:w="2620"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060" w:type="dxa"/>
                  <w:gridSpan w:val="2"/>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500"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640"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gridAfter w:val="1"/>
                <w:wBefore w:w="10" w:type="dxa"/>
                <w:wAfter w:w="1030" w:type="dxa"/>
                <w:trHeight w:val="80" w:hRule="atLeast"/>
              </w:trPr>
              <w:tc>
                <w:tcPr>
                  <w:tcW w:w="2620"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060" w:type="dxa"/>
                  <w:gridSpan w:val="2"/>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500"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1640" w:type="dxa"/>
                  <w:gridSpan w:val="3"/>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r>
          </w:tbl>
          <w:p>
            <w:pPr>
              <w:widowControl/>
              <w:jc w:val="left"/>
              <w:rPr>
                <w:rFonts w:ascii="黑体" w:hAnsi="宋体" w:eastAsia="黑体" w:cs="宋体"/>
                <w:b/>
                <w:bCs/>
                <w:kern w:val="0"/>
                <w:sz w:val="30"/>
                <w:szCs w:val="30"/>
              </w:rPr>
            </w:pPr>
          </w:p>
        </w:tc>
      </w:tr>
    </w:tbl>
    <w:p>
      <w:pPr>
        <w:ind w:firstLine="420" w:firstLineChars="200"/>
        <w:jc w:val="right"/>
      </w:pPr>
      <w:r>
        <w:rPr>
          <w:rFonts w:hint="eastAsia"/>
        </w:rPr>
        <w:t xml:space="preserve"> </w:t>
      </w:r>
      <w:r>
        <w:t xml:space="preserve">                               </w:t>
      </w:r>
    </w:p>
    <w:p>
      <w:pPr>
        <w:widowControl/>
        <w:snapToGrid w:val="0"/>
        <w:rPr>
          <w:rFonts w:ascii="黑体" w:hAnsi="黑体" w:eastAsia="黑体"/>
          <w:b/>
          <w:bCs/>
          <w:kern w:val="0"/>
          <w:sz w:val="28"/>
          <w:szCs w:val="28"/>
        </w:rPr>
      </w:pPr>
      <w:r>
        <w:rPr>
          <w:rFonts w:hint="eastAsia" w:ascii="黑体" w:hAnsi="黑体" w:eastAsia="黑体"/>
          <w:b/>
          <w:bCs/>
          <w:kern w:val="0"/>
          <w:sz w:val="28"/>
          <w:szCs w:val="28"/>
        </w:rPr>
        <w:t>附：</w:t>
      </w:r>
    </w:p>
    <w:p>
      <w:pPr>
        <w:pStyle w:val="5"/>
        <w:widowControl/>
        <w:rPr>
          <w:rFonts w:ascii="宋体" w:hAnsi="宋体" w:cs="宋体"/>
          <w:b/>
          <w:sz w:val="28"/>
          <w:szCs w:val="28"/>
        </w:rPr>
      </w:pPr>
      <w:r>
        <w:rPr>
          <w:rFonts w:hint="eastAsia" w:ascii="宋体" w:hAnsi="宋体" w:cs="宋体"/>
          <w:b/>
          <w:sz w:val="28"/>
          <w:szCs w:val="28"/>
        </w:rPr>
        <w:t>戏剧与影视学专业博士生资格考核书目：</w:t>
      </w:r>
    </w:p>
    <w:p>
      <w:pPr>
        <w:pStyle w:val="5"/>
        <w:widowControl/>
        <w:rPr>
          <w:rFonts w:ascii="宋体" w:hAnsi="宋体" w:cs="宋体"/>
          <w:color w:val="000000"/>
          <w:sz w:val="21"/>
          <w:szCs w:val="21"/>
        </w:rPr>
      </w:pPr>
      <w:r>
        <w:rPr>
          <w:rFonts w:hint="eastAsia" w:ascii="宋体" w:hAnsi="宋体" w:cs="宋体"/>
          <w:color w:val="000000"/>
          <w:sz w:val="21"/>
          <w:szCs w:val="21"/>
        </w:rPr>
        <w:t>1、[古希腊]亚里士多德：《诗学》，陈中梅译，商务印书馆</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2、[德]黑格尔：《美学》，朱光潜译，商务印书馆</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3、[美]苏珊·朗格：《情感与形式》，刘大基等译，中国社会科学出版社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4、[德]H-G·伽达默尔：《真理与方法》，洪汉鼎译，上海译文出版社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5、朱光潜：《悲剧心理学》，人民文学出版社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6、李渔：《闲情偶寄》，上海古籍出版社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7、冯友兰：《中国哲学简史》，北京大学出版社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8、郭绍虞主编：《中国历代文论选》（1卷本），上海古籍出版社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9、宗白华：《艺境》，商务印书馆</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10、李泽厚：《中国近代思想史论》，安徽文艺出版社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11、王国维：《宋元戏曲史》，上海古籍出版社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12、周贻白：《中国戏剧史长编》，人民文学出版社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13、钱南扬：《戏文概论》，上海古籍出版社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14、张庚：《戏曲艺术论》，中国戏剧出版社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15、洛地：《戏曲与浙江》，浙江人民出版社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16、郑雪来编：《斯坦尼斯拉夫斯基论导演与表演》，中国戏剧出版社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17、[英]J·L·斯泰恩：《现代戏剧的理论与实践》（1-3），周诚等译，中国戏剧出版社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18、[德]彼得·斯丛狄：《现代戏剧理论》，王建译，北京大学出版社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19、陈白尘、董健主编：《中国现代戏剧史稿》，中国戏剧出版社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20、谭霈生：《论戏剧性》，北京大学出版社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21、[匈]巴拉兹·贝拉：《电影美学》，何力译，中国电影出版社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22、[法]克里斯蒂安·麦茨：《想象的能指》，王志敏译，中国广播电视出版社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23、李恒基、杨远婴编：《外国电影理论文选》，三联书店</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24、丁亚平主编：《百年中国电影理论文选》，文化艺术出版社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25、[法]乔治·萨杜尔：《世界电影史》，徐昭、胡承伟译，中国电影出版社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26、程季华主编：《中国电影发展史》，中国电影出版社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27、[加]马歇尔·麦克卢汉：《理解媒介》，何道宽译，译林出版社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28、[美]劳拉·斯蒙福德：《午后的爱情与意识形态》，林鹤译，中央编译出版社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29、[美]罗伯特·C·艾伦编：《重组话语频道：电视与当代批评理论》，牟岭译，北京大学出版社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30、陈志昂主编：《中国电视艺术通史》，中国文联出版社</w:t>
      </w:r>
      <w:r>
        <w:rPr>
          <w:rFonts w:ascii="宋体" w:hAnsi="宋体" w:cs="宋体"/>
          <w:color w:val="000000"/>
          <w:sz w:val="21"/>
          <w:szCs w:val="21"/>
        </w:rPr>
        <w:t xml:space="preserve"> </w:t>
      </w:r>
    </w:p>
    <w:p>
      <w:pPr>
        <w:pStyle w:val="5"/>
        <w:widowControl/>
        <w:rPr>
          <w:rFonts w:ascii="宋体" w:hAnsi="宋体" w:cs="宋体"/>
          <w:color w:val="000000"/>
          <w:sz w:val="21"/>
          <w:szCs w:val="21"/>
        </w:rPr>
      </w:pPr>
      <w:r>
        <w:rPr>
          <w:rFonts w:hint="eastAsia" w:ascii="宋体" w:hAnsi="宋体" w:cs="宋体"/>
          <w:color w:val="000000"/>
          <w:sz w:val="21"/>
          <w:szCs w:val="21"/>
        </w:rPr>
        <w:t>（以上由导师按专业方向选定其中20种）</w:t>
      </w:r>
      <w:r>
        <w:rPr>
          <w:rFonts w:ascii="宋体" w:hAnsi="宋体" w:cs="宋体"/>
          <w:color w:val="000000"/>
          <w:sz w:val="21"/>
          <w:szCs w:val="21"/>
        </w:rPr>
        <w:t xml:space="preserve"> </w:t>
      </w:r>
    </w:p>
    <w:p>
      <w:pPr>
        <w:jc w:val="center"/>
        <w:rPr>
          <w:rFonts w:ascii="宋体" w:hAnsi="宋体"/>
          <w:b/>
          <w:sz w:val="28"/>
          <w:szCs w:val="28"/>
        </w:rPr>
      </w:pPr>
    </w:p>
    <w:p>
      <w:pPr>
        <w:jc w:val="center"/>
        <w:rPr>
          <w:rFonts w:ascii="宋体" w:hAnsi="宋体"/>
          <w:b/>
          <w:sz w:val="28"/>
          <w:szCs w:val="28"/>
        </w:rPr>
      </w:pPr>
    </w:p>
    <w:p>
      <w:pPr>
        <w:ind w:firstLine="420" w:firstLineChars="200"/>
        <w:jc w:val="right"/>
        <w:rPr>
          <w:rFonts w:ascii="黑体" w:hAnsi="黑体" w:eastAsia="黑体"/>
          <w:b/>
          <w:bCs/>
          <w:sz w:val="28"/>
          <w:szCs w:val="28"/>
        </w:rPr>
      </w:pPr>
      <w:r>
        <w:rPr>
          <w:rFonts w:hint="eastAsia" w:hAnsi="宋体"/>
          <w:szCs w:val="21"/>
        </w:rPr>
        <w:t xml:space="preserve"> </w:t>
      </w:r>
      <w:r>
        <w:rPr>
          <w:rFonts w:hAnsi="宋体"/>
          <w:szCs w:val="21"/>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73B"/>
    <w:multiLevelType w:val="multilevel"/>
    <w:tmpl w:val="02FE673B"/>
    <w:lvl w:ilvl="0" w:tentative="0">
      <w:start w:val="1"/>
      <w:numFmt w:val="chineseCountingThousand"/>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1">
    <w:nsid w:val="55F674B8"/>
    <w:multiLevelType w:val="multilevel"/>
    <w:tmpl w:val="55F674B8"/>
    <w:lvl w:ilvl="0" w:tentative="0">
      <w:start w:val="2"/>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7E33A71"/>
    <w:multiLevelType w:val="multilevel"/>
    <w:tmpl w:val="67E33A71"/>
    <w:lvl w:ilvl="0" w:tentative="0">
      <w:start w:val="1"/>
      <w:numFmt w:val="decimalEnclosedCircle"/>
      <w:lvlText w:val="%1"/>
      <w:lvlJc w:val="left"/>
      <w:pPr>
        <w:ind w:left="1080" w:hanging="360"/>
      </w:pPr>
      <w:rPr>
        <w:rFonts w:hint="default" w:cs="Times New Roman"/>
      </w:rPr>
    </w:lvl>
    <w:lvl w:ilvl="1" w:tentative="0">
      <w:start w:val="1"/>
      <w:numFmt w:val="lowerLetter"/>
      <w:lvlText w:val="%2)"/>
      <w:lvlJc w:val="left"/>
      <w:pPr>
        <w:ind w:left="1560" w:hanging="420"/>
      </w:pPr>
      <w:rPr>
        <w:rFonts w:cs="Times New Roman"/>
      </w:rPr>
    </w:lvl>
    <w:lvl w:ilvl="2" w:tentative="0">
      <w:start w:val="1"/>
      <w:numFmt w:val="lowerRoman"/>
      <w:lvlText w:val="%3."/>
      <w:lvlJc w:val="right"/>
      <w:pPr>
        <w:ind w:left="1980" w:hanging="420"/>
      </w:pPr>
      <w:rPr>
        <w:rFonts w:cs="Times New Roman"/>
      </w:rPr>
    </w:lvl>
    <w:lvl w:ilvl="3" w:tentative="0">
      <w:start w:val="1"/>
      <w:numFmt w:val="decimal"/>
      <w:lvlText w:val="%4."/>
      <w:lvlJc w:val="left"/>
      <w:pPr>
        <w:ind w:left="2400" w:hanging="420"/>
      </w:pPr>
      <w:rPr>
        <w:rFonts w:cs="Times New Roman"/>
      </w:rPr>
    </w:lvl>
    <w:lvl w:ilvl="4" w:tentative="0">
      <w:start w:val="1"/>
      <w:numFmt w:val="lowerLetter"/>
      <w:lvlText w:val="%5)"/>
      <w:lvlJc w:val="left"/>
      <w:pPr>
        <w:ind w:left="2820" w:hanging="420"/>
      </w:pPr>
      <w:rPr>
        <w:rFonts w:cs="Times New Roman"/>
      </w:rPr>
    </w:lvl>
    <w:lvl w:ilvl="5" w:tentative="0">
      <w:start w:val="1"/>
      <w:numFmt w:val="lowerRoman"/>
      <w:lvlText w:val="%6."/>
      <w:lvlJc w:val="right"/>
      <w:pPr>
        <w:ind w:left="3240" w:hanging="420"/>
      </w:pPr>
      <w:rPr>
        <w:rFonts w:cs="Times New Roman"/>
      </w:rPr>
    </w:lvl>
    <w:lvl w:ilvl="6" w:tentative="0">
      <w:start w:val="1"/>
      <w:numFmt w:val="decimal"/>
      <w:lvlText w:val="%7."/>
      <w:lvlJc w:val="left"/>
      <w:pPr>
        <w:ind w:left="3660" w:hanging="420"/>
      </w:pPr>
      <w:rPr>
        <w:rFonts w:cs="Times New Roman"/>
      </w:rPr>
    </w:lvl>
    <w:lvl w:ilvl="7" w:tentative="0">
      <w:start w:val="1"/>
      <w:numFmt w:val="lowerLetter"/>
      <w:lvlText w:val="%8)"/>
      <w:lvlJc w:val="left"/>
      <w:pPr>
        <w:ind w:left="4080" w:hanging="420"/>
      </w:pPr>
      <w:rPr>
        <w:rFonts w:cs="Times New Roman"/>
      </w:rPr>
    </w:lvl>
    <w:lvl w:ilvl="8" w:tentative="0">
      <w:start w:val="1"/>
      <w:numFmt w:val="lowerRoman"/>
      <w:lvlText w:val="%9."/>
      <w:lvlJc w:val="right"/>
      <w:pPr>
        <w:ind w:left="4500" w:hanging="420"/>
      </w:pPr>
      <w:rPr>
        <w:rFonts w:cs="Times New Roman"/>
      </w:rPr>
    </w:lvl>
  </w:abstractNum>
  <w:abstractNum w:abstractNumId="3">
    <w:nsid w:val="78AD50B0"/>
    <w:multiLevelType w:val="multilevel"/>
    <w:tmpl w:val="78AD50B0"/>
    <w:lvl w:ilvl="0" w:tentative="0">
      <w:start w:val="2"/>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24"/>
    <w:rsid w:val="001847CC"/>
    <w:rsid w:val="009E0363"/>
    <w:rsid w:val="00A93D40"/>
    <w:rsid w:val="00B27A24"/>
    <w:rsid w:val="00F1386C"/>
    <w:rsid w:val="31E16030"/>
    <w:rsid w:val="3C9E64F7"/>
    <w:rsid w:val="43343CCD"/>
    <w:rsid w:val="47C71423"/>
    <w:rsid w:val="4EDA7704"/>
    <w:rsid w:val="5FDA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Body Text Indent 3"/>
    <w:basedOn w:val="1"/>
    <w:link w:val="11"/>
    <w:uiPriority w:val="0"/>
    <w:pPr>
      <w:spacing w:after="120"/>
      <w:ind w:left="420" w:leftChars="200"/>
    </w:pPr>
    <w:rPr>
      <w:rFonts w:ascii="Times New Roman" w:hAnsi="Times New Roman" w:eastAsia="宋体" w:cs="Times New Roman"/>
      <w:sz w:val="16"/>
      <w:szCs w:val="16"/>
    </w:rPr>
  </w:style>
  <w:style w:type="paragraph" w:styleId="5">
    <w:name w:val="Normal (Web)"/>
    <w:basedOn w:val="1"/>
    <w:qFormat/>
    <w:uiPriority w:val="0"/>
    <w:pPr>
      <w:spacing w:beforeAutospacing="1" w:afterAutospacing="1"/>
      <w:jc w:val="left"/>
    </w:pPr>
    <w:rPr>
      <w:rFonts w:ascii="Calibri" w:hAnsi="Calibri" w:eastAsia="宋体" w:cs="Times New Roman"/>
      <w:kern w:val="0"/>
      <w:sz w:val="24"/>
      <w:szCs w:val="24"/>
    </w:rPr>
  </w:style>
  <w:style w:type="character" w:customStyle="1" w:styleId="8">
    <w:name w:val="页眉 字符"/>
    <w:basedOn w:val="7"/>
    <w:link w:val="3"/>
    <w:qFormat/>
    <w:uiPriority w:val="99"/>
    <w:rPr>
      <w:rFonts w:ascii="Times New Roman" w:hAnsi="Times New Roman" w:eastAsia="宋体" w:cs="Times New Roman"/>
      <w:kern w:val="0"/>
      <w:sz w:val="18"/>
      <w:szCs w:val="18"/>
    </w:rPr>
  </w:style>
  <w:style w:type="paragraph" w:customStyle="1" w:styleId="9">
    <w:name w:val="列出段落1"/>
    <w:basedOn w:val="1"/>
    <w:qFormat/>
    <w:uiPriority w:val="34"/>
    <w:pPr>
      <w:ind w:firstLine="420" w:firstLineChars="200"/>
    </w:pPr>
    <w:rPr>
      <w:rFonts w:ascii="Calibri" w:hAnsi="Calibri" w:eastAsia="宋体" w:cs="黑体"/>
    </w:r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正文文本缩进 3 字符"/>
    <w:basedOn w:val="7"/>
    <w:link w:val="4"/>
    <w:uiPriority w:val="0"/>
    <w:rPr>
      <w:rFonts w:ascii="Times New Roman" w:hAnsi="Times New Roman" w:eastAsia="宋体" w:cs="Times New Roman"/>
      <w:sz w:val="16"/>
      <w:szCs w:val="16"/>
    </w:rPr>
  </w:style>
  <w:style w:type="character" w:customStyle="1" w:styleId="12">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745</Words>
  <Characters>4249</Characters>
  <Lines>35</Lines>
  <Paragraphs>9</Paragraphs>
  <TotalTime>122</TotalTime>
  <ScaleCrop>false</ScaleCrop>
  <LinksUpToDate>false</LinksUpToDate>
  <CharactersWithSpaces>4985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2020-07-05T01:06:00Z</dcterms:created>
  <dc:creator>623311152@qq.com</dc:creator>
  <cp:lastModifiedBy>Lana Tiffany</cp:lastModifiedBy>
  <dcterms:modified xsi:type="dcterms:W3CDTF">2020-07-09T05:52:38Z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