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heme="minorEastAsia" w:hAnsiTheme="minorEastAsia" w:eastAsiaTheme="minorEastAsia"/>
          <w:szCs w:val="21"/>
        </w:rPr>
      </w:pPr>
      <w:r>
        <w:rPr>
          <w:rFonts w:hint="eastAsia" w:asciiTheme="minorEastAsia" w:hAnsiTheme="minorEastAsia" w:eastAsiaTheme="minorEastAsia"/>
        </w:rPr>
        <w:t>南京大学世界历史专业博士生培养方案</w:t>
      </w:r>
    </w:p>
    <w:p>
      <w:pPr>
        <w:pStyle w:val="21"/>
        <w:spacing w:line="360" w:lineRule="auto"/>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 xml:space="preserve">学科门类：历史学 </w:t>
      </w:r>
      <w:r>
        <w:rPr>
          <w:rFonts w:asciiTheme="minorEastAsia" w:hAnsiTheme="minorEastAsia" w:eastAsiaTheme="minorEastAsia"/>
          <w:color w:val="auto"/>
          <w:sz w:val="28"/>
          <w:szCs w:val="28"/>
        </w:rPr>
        <w:t xml:space="preserve">   一级学科</w:t>
      </w:r>
      <w:r>
        <w:rPr>
          <w:rFonts w:hint="eastAsia" w:asciiTheme="minorEastAsia" w:hAnsiTheme="minorEastAsia" w:eastAsiaTheme="minorEastAsia"/>
          <w:color w:val="auto"/>
          <w:sz w:val="28"/>
          <w:szCs w:val="28"/>
        </w:rPr>
        <w:t>：世界历史</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专业代码：</w:t>
      </w:r>
      <w:r>
        <w:rPr>
          <w:rFonts w:asciiTheme="minorEastAsia" w:hAnsiTheme="minorEastAsia" w:eastAsiaTheme="minorEastAsia"/>
          <w:color w:val="auto"/>
          <w:sz w:val="28"/>
          <w:szCs w:val="28"/>
        </w:rPr>
        <w:t xml:space="preserve">060300 </w:t>
      </w:r>
    </w:p>
    <w:p>
      <w:pPr>
        <w:pStyle w:val="3"/>
        <w:spacing w:line="360" w:lineRule="auto"/>
        <w:rPr>
          <w:rFonts w:asciiTheme="minorEastAsia" w:hAnsiTheme="minorEastAsia" w:eastAsiaTheme="minorEastAsia"/>
        </w:rPr>
      </w:pPr>
      <w:r>
        <w:rPr>
          <w:rFonts w:hint="eastAsia" w:asciiTheme="minorEastAsia" w:hAnsiTheme="minorEastAsia" w:eastAsiaTheme="minorEastAsia"/>
        </w:rPr>
        <w:t>一、学科介绍</w:t>
      </w:r>
    </w:p>
    <w:p>
      <w:pPr>
        <w:spacing w:line="360" w:lineRule="auto"/>
        <w:ind w:firstLine="420"/>
        <w:rPr>
          <w:rFonts w:cs="宋体" w:asciiTheme="minorEastAsia" w:hAnsiTheme="minorEastAsia" w:eastAsiaTheme="minorEastAsia"/>
          <w:szCs w:val="21"/>
        </w:rPr>
      </w:pPr>
      <w:r>
        <w:rPr>
          <w:rFonts w:cs="宋体" w:asciiTheme="minorEastAsia" w:hAnsiTheme="minorEastAsia" w:eastAsiaTheme="minorEastAsia"/>
          <w:szCs w:val="21"/>
        </w:rPr>
        <w:t>南京大学世界史学科是</w:t>
      </w:r>
      <w:r>
        <w:rPr>
          <w:rFonts w:hint="eastAsia" w:cs="宋体" w:asciiTheme="minorEastAsia" w:hAnsiTheme="minorEastAsia" w:eastAsiaTheme="minorEastAsia"/>
          <w:szCs w:val="21"/>
        </w:rPr>
        <w:t>改革开放</w:t>
      </w:r>
      <w:r>
        <w:rPr>
          <w:rFonts w:cs="宋体" w:asciiTheme="minorEastAsia" w:hAnsiTheme="minorEastAsia" w:eastAsiaTheme="minorEastAsia"/>
          <w:szCs w:val="21"/>
        </w:rPr>
        <w:t>后国务院首批设立的世界史专业、国际关系史专业硕士和博士学位授权点单位，是首批国家重点学科和江苏省优势学科。</w:t>
      </w:r>
      <w:r>
        <w:rPr>
          <w:rFonts w:hint="eastAsia"/>
          <w:szCs w:val="21"/>
          <w:shd w:val="clear" w:color="auto" w:fill="FFFFFF"/>
        </w:rPr>
        <w:t>世界史学科拥有悠久的历史，雷海忠、蒋孟引、王绳祖、王觉非、钱乘旦、陈晓律等史学大师、名家先后在此执教，薪火相继，培养了一大批优秀人才。</w:t>
      </w:r>
      <w:r>
        <w:rPr>
          <w:rFonts w:cs="宋体" w:asciiTheme="minorEastAsia" w:hAnsiTheme="minorEastAsia" w:eastAsiaTheme="minorEastAsia"/>
          <w:szCs w:val="21"/>
        </w:rPr>
        <w:t>以英国史为龙头的欧美大国史研究和国际关系史研究是本学科的主要特色和优势方向。本学科的英国史研究是国内外学界公认的中国英国史研究与人才培养中心。英国史研究成果曾获教育部高校人文社科研究一、二、三等奖，队伍传承有序，研究条件良好，建有国内一流的“英国史图书特藏室”，主办《英国研究》集刊。本学科还是我国最早从事国际关系历史和现状研究和人才培养的单位之一，标志性成果之一10卷本《国际关系史》具有重要影响，也是国家“马工程”《国际关系史》教材项目第一首席专家单位。</w:t>
      </w:r>
      <w:r>
        <w:rPr>
          <w:rFonts w:hint="eastAsia" w:cs="宋体" w:asciiTheme="minorEastAsia" w:hAnsiTheme="minorEastAsia" w:eastAsiaTheme="minorEastAsia"/>
          <w:szCs w:val="21"/>
        </w:rPr>
        <w:t>同时还是</w:t>
      </w:r>
      <w:r>
        <w:rPr>
          <w:rFonts w:cs="宋体" w:asciiTheme="minorEastAsia" w:hAnsiTheme="minorEastAsia" w:eastAsiaTheme="minorEastAsia"/>
          <w:szCs w:val="21"/>
        </w:rPr>
        <w:t>“2011 计划”首批协同创新中心“中国南海研究协同创新中心”的重要支撑力量，主持了“南海周边国家政治经济社会研究”以及“南海国际关系研究”两个平台的运行，为国家提供大量基础信息与决策支持服务，推动了与国内外顶尖学术力量的交流合作，使本学科发展获得了新的提升。</w:t>
      </w:r>
    </w:p>
    <w:p>
      <w:pPr>
        <w:pStyle w:val="3"/>
        <w:spacing w:line="360" w:lineRule="auto"/>
        <w:rPr>
          <w:rFonts w:asciiTheme="minorEastAsia" w:hAnsiTheme="minorEastAsia" w:eastAsiaTheme="minorEastAsia"/>
        </w:rPr>
      </w:pPr>
      <w:r>
        <w:rPr>
          <w:rFonts w:hint="eastAsia" w:asciiTheme="minorEastAsia" w:hAnsiTheme="minorEastAsia" w:eastAsiaTheme="minorEastAsia"/>
        </w:rPr>
        <w:t>二、培养目标</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本专业旨在培养全面准确地掌握马列主义、毛泽东思想、邓小平中国特色社会主义理论，全面准确掌握习近平新时代中国特色社会主义理论，具有国际视野、家国情怀、品德良好、献身科学的新时代中国特色社会主义建设者和接班人。</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培养全面掌握世界史学科的基础知识、熟练掌握从事世界史研究的研究方法、研究技能，具有良好学术素养、过硬学术品德</w:t>
      </w:r>
      <w:r>
        <w:rPr>
          <w:rFonts w:cs="宋体" w:asciiTheme="minorEastAsia" w:hAnsiTheme="minorEastAsia" w:eastAsiaTheme="minorEastAsia"/>
          <w:szCs w:val="21"/>
        </w:rPr>
        <w:t>和</w:t>
      </w:r>
      <w:r>
        <w:rPr>
          <w:rFonts w:hint="eastAsia" w:cs="宋体" w:asciiTheme="minorEastAsia" w:hAnsiTheme="minorEastAsia" w:eastAsiaTheme="minorEastAsia"/>
          <w:szCs w:val="21"/>
        </w:rPr>
        <w:t>研究能力的创新型高级专门人才。</w:t>
      </w:r>
    </w:p>
    <w:p>
      <w:pPr>
        <w:pStyle w:val="3"/>
        <w:spacing w:line="360" w:lineRule="auto"/>
        <w:rPr>
          <w:rFonts w:asciiTheme="minorEastAsia" w:hAnsiTheme="minorEastAsia" w:eastAsiaTheme="minorEastAsia"/>
        </w:rPr>
      </w:pPr>
      <w:r>
        <w:rPr>
          <w:rFonts w:hint="eastAsia" w:asciiTheme="minorEastAsia" w:hAnsiTheme="minorEastAsia" w:eastAsiaTheme="minorEastAsia"/>
        </w:rPr>
        <w:t xml:space="preserve">三、主要研究方向： </w:t>
      </w:r>
    </w:p>
    <w:p>
      <w:pPr>
        <w:spacing w:line="360" w:lineRule="auto"/>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本专业研究方向：（</w:t>
      </w:r>
      <w:r>
        <w:rPr>
          <w:rFonts w:cs="宋体" w:asciiTheme="minorEastAsia" w:hAnsiTheme="minorEastAsia" w:eastAsiaTheme="minorEastAsia"/>
          <w:szCs w:val="21"/>
        </w:rPr>
        <w:t>1</w:t>
      </w:r>
      <w:r>
        <w:rPr>
          <w:rFonts w:hint="eastAsia" w:cs="宋体" w:asciiTheme="minorEastAsia" w:hAnsiTheme="minorEastAsia" w:eastAsiaTheme="minorEastAsia"/>
          <w:szCs w:val="21"/>
        </w:rPr>
        <w:t>）世界上古中古史；（</w:t>
      </w:r>
      <w:r>
        <w:rPr>
          <w:rFonts w:cs="宋体" w:asciiTheme="minorEastAsia" w:hAnsiTheme="minorEastAsia" w:eastAsiaTheme="minorEastAsia"/>
          <w:szCs w:val="21"/>
        </w:rPr>
        <w:t>2</w:t>
      </w:r>
      <w:r>
        <w:rPr>
          <w:rFonts w:hint="eastAsia" w:cs="宋体" w:asciiTheme="minorEastAsia" w:hAnsiTheme="minorEastAsia" w:eastAsiaTheme="minorEastAsia"/>
          <w:szCs w:val="21"/>
        </w:rPr>
        <w:t>）世界近现代史；（</w:t>
      </w:r>
      <w:r>
        <w:rPr>
          <w:rFonts w:cs="宋体" w:asciiTheme="minorEastAsia" w:hAnsiTheme="minorEastAsia" w:eastAsiaTheme="minorEastAsia"/>
          <w:szCs w:val="21"/>
        </w:rPr>
        <w:t>3</w:t>
      </w:r>
      <w:r>
        <w:rPr>
          <w:rFonts w:hint="eastAsia" w:cs="宋体" w:asciiTheme="minorEastAsia" w:hAnsiTheme="minorEastAsia" w:eastAsiaTheme="minorEastAsia"/>
          <w:szCs w:val="21"/>
        </w:rPr>
        <w:t>）世界地区与国别史；（</w:t>
      </w:r>
      <w:r>
        <w:rPr>
          <w:rFonts w:cs="宋体" w:asciiTheme="minorEastAsia" w:hAnsiTheme="minorEastAsia" w:eastAsiaTheme="minorEastAsia"/>
          <w:szCs w:val="21"/>
        </w:rPr>
        <w:t>4</w:t>
      </w:r>
      <w:r>
        <w:rPr>
          <w:rFonts w:hint="eastAsia" w:cs="宋体" w:asciiTheme="minorEastAsia" w:hAnsiTheme="minorEastAsia" w:eastAsiaTheme="minorEastAsia"/>
          <w:szCs w:val="21"/>
        </w:rPr>
        <w:t>）世界通史与专门史；（</w:t>
      </w:r>
      <w:r>
        <w:rPr>
          <w:rFonts w:cs="宋体" w:asciiTheme="minorEastAsia" w:hAnsiTheme="minorEastAsia" w:eastAsiaTheme="minorEastAsia"/>
          <w:szCs w:val="21"/>
        </w:rPr>
        <w:t>5</w:t>
      </w:r>
      <w:r>
        <w:rPr>
          <w:rFonts w:hint="eastAsia" w:cs="宋体" w:asciiTheme="minorEastAsia" w:hAnsiTheme="minorEastAsia" w:eastAsiaTheme="minorEastAsia"/>
          <w:szCs w:val="21"/>
        </w:rPr>
        <w:t>）史学理论与外国史学史。</w:t>
      </w:r>
    </w:p>
    <w:p>
      <w:pPr>
        <w:spacing w:line="360" w:lineRule="auto"/>
        <w:ind w:firstLine="420"/>
        <w:rPr>
          <w:rFonts w:asciiTheme="minorEastAsia" w:hAnsiTheme="minorEastAsia" w:eastAsiaTheme="minorEastAsia"/>
        </w:rPr>
      </w:pPr>
      <w:r>
        <w:rPr>
          <w:rFonts w:asciiTheme="minorEastAsia" w:hAnsiTheme="minorEastAsia" w:eastAsiaTheme="minorEastAsia"/>
        </w:rPr>
        <w:t>三、</w:t>
      </w:r>
      <w:r>
        <w:rPr>
          <w:rFonts w:hint="eastAsia" w:asciiTheme="minorEastAsia" w:hAnsiTheme="minorEastAsia" w:eastAsiaTheme="minorEastAsia"/>
        </w:rPr>
        <w:t>修业年限</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普通</w:t>
      </w:r>
      <w:r>
        <w:rPr>
          <w:rFonts w:asciiTheme="minorEastAsia" w:hAnsiTheme="minorEastAsia" w:eastAsiaTheme="minorEastAsia"/>
          <w:szCs w:val="21"/>
        </w:rPr>
        <w:t>博士生基本</w:t>
      </w:r>
      <w:r>
        <w:rPr>
          <w:rFonts w:hint="eastAsia" w:asciiTheme="minorEastAsia" w:hAnsiTheme="minorEastAsia" w:eastAsiaTheme="minorEastAsia"/>
          <w:szCs w:val="21"/>
        </w:rPr>
        <w:t>修业年限为</w:t>
      </w:r>
      <w:r>
        <w:rPr>
          <w:rFonts w:asciiTheme="minorEastAsia" w:hAnsiTheme="minorEastAsia" w:eastAsiaTheme="minorEastAsia"/>
          <w:szCs w:val="21"/>
        </w:rPr>
        <w:t>四年，最长</w:t>
      </w:r>
      <w:r>
        <w:rPr>
          <w:rFonts w:hint="eastAsia" w:asciiTheme="minorEastAsia" w:hAnsiTheme="minorEastAsia" w:eastAsiaTheme="minorEastAsia"/>
          <w:szCs w:val="21"/>
        </w:rPr>
        <w:t>修业年限为</w:t>
      </w:r>
      <w:r>
        <w:rPr>
          <w:rFonts w:asciiTheme="minorEastAsia" w:hAnsiTheme="minorEastAsia" w:eastAsiaTheme="minorEastAsia"/>
          <w:szCs w:val="21"/>
        </w:rPr>
        <w:t>八年</w:t>
      </w:r>
      <w:r>
        <w:rPr>
          <w:rFonts w:hint="eastAsia" w:asciiTheme="minorEastAsia" w:hAnsiTheme="minorEastAsia" w:eastAsiaTheme="minorEastAsia"/>
          <w:szCs w:val="21"/>
        </w:rPr>
        <w:t>。</w:t>
      </w:r>
    </w:p>
    <w:p>
      <w:pPr>
        <w:pStyle w:val="3"/>
        <w:spacing w:line="360" w:lineRule="auto"/>
        <w:rPr>
          <w:rFonts w:asciiTheme="minorEastAsia" w:hAnsiTheme="minorEastAsia" w:eastAsiaTheme="minorEastAsia"/>
        </w:rPr>
      </w:pPr>
      <w:r>
        <w:rPr>
          <w:rFonts w:hint="eastAsia" w:asciiTheme="minorEastAsia" w:hAnsiTheme="minorEastAsia" w:eastAsiaTheme="minorEastAsia"/>
        </w:rPr>
        <w:t>四</w:t>
      </w:r>
      <w:r>
        <w:rPr>
          <w:rFonts w:asciiTheme="minorEastAsia" w:hAnsiTheme="minorEastAsia" w:eastAsiaTheme="minorEastAsia"/>
        </w:rPr>
        <w:t>、培养方式</w:t>
      </w:r>
    </w:p>
    <w:p>
      <w:pPr>
        <w:pStyle w:val="21"/>
        <w:spacing w:line="360" w:lineRule="auto"/>
        <w:rPr>
          <w:rFonts w:cs="宋体" w:asciiTheme="minorEastAsia" w:hAnsiTheme="minorEastAsia" w:eastAsiaTheme="minorEastAsia"/>
          <w:color w:val="auto"/>
          <w:sz w:val="21"/>
          <w:szCs w:val="21"/>
        </w:rPr>
      </w:pPr>
      <w:r>
        <w:rPr>
          <w:rFonts w:cs="Times New Roman" w:asciiTheme="minorEastAsia" w:hAnsiTheme="minorEastAsia" w:eastAsiaTheme="minorEastAsia"/>
          <w:color w:val="auto"/>
          <w:sz w:val="21"/>
          <w:szCs w:val="21"/>
        </w:rPr>
        <w:t>1</w:t>
      </w:r>
      <w:r>
        <w:rPr>
          <w:rFonts w:hint="eastAsia" w:cs="宋体" w:asciiTheme="minorEastAsia" w:hAnsiTheme="minorEastAsia" w:eastAsiaTheme="minorEastAsia"/>
          <w:color w:val="auto"/>
          <w:sz w:val="21"/>
          <w:szCs w:val="21"/>
        </w:rPr>
        <w:t>．世界史学科博士研究生培养方式主要采取博士生指导教师负责下的博士生指导小组制。</w:t>
      </w:r>
      <w:r>
        <w:rPr>
          <w:rFonts w:cs="宋体" w:asciiTheme="minorEastAsia" w:hAnsiTheme="minorEastAsia" w:eastAsiaTheme="minorEastAsia"/>
          <w:color w:val="auto"/>
          <w:sz w:val="21"/>
          <w:szCs w:val="21"/>
        </w:rPr>
        <w:t>指导小组</w:t>
      </w:r>
      <w:r>
        <w:rPr>
          <w:rFonts w:hint="eastAsia" w:cs="宋体" w:asciiTheme="minorEastAsia" w:hAnsiTheme="minorEastAsia" w:eastAsiaTheme="minorEastAsia"/>
          <w:color w:val="auto"/>
          <w:sz w:val="21"/>
          <w:szCs w:val="21"/>
        </w:rPr>
        <w:t>由</w:t>
      </w:r>
      <w:r>
        <w:rPr>
          <w:rFonts w:cs="宋体" w:asciiTheme="minorEastAsia" w:hAnsiTheme="minorEastAsia" w:eastAsiaTheme="minorEastAsia"/>
          <w:color w:val="auto"/>
          <w:sz w:val="21"/>
          <w:szCs w:val="21"/>
        </w:rPr>
        <w:t>本学科博士生导师组成</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指导教师为博士生培养第一负责人</w:t>
      </w:r>
      <w:r>
        <w:rPr>
          <w:rFonts w:hint="eastAsia" w:cs="宋体" w:asciiTheme="minorEastAsia" w:hAnsiTheme="minorEastAsia" w:eastAsiaTheme="minorEastAsia"/>
          <w:color w:val="auto"/>
          <w:sz w:val="21"/>
          <w:szCs w:val="21"/>
        </w:rPr>
        <w:t>，具体负责指导博士研究生学习计划的具体安排、研究生学分和学习进度的检查、研究课题的确定、学位论文写作的指导监督、研究生实习工作的安排，以及其他相关事宜。博士生指导小组由学科负责人担任组长，具体负责博士生培养的相关行政和教学培养事务。</w:t>
      </w:r>
      <w:r>
        <w:rPr>
          <w:rFonts w:cs="宋体" w:asciiTheme="minorEastAsia" w:hAnsiTheme="minorEastAsia" w:eastAsiaTheme="minorEastAsia"/>
          <w:color w:val="auto"/>
          <w:sz w:val="21"/>
          <w:szCs w:val="21"/>
        </w:rPr>
        <w:t xml:space="preserve"> </w:t>
      </w:r>
    </w:p>
    <w:p>
      <w:pPr>
        <w:pStyle w:val="21"/>
        <w:spacing w:line="360" w:lineRule="auto"/>
        <w:rPr>
          <w:rFonts w:cs="Times New Roman" w:asciiTheme="minorEastAsia" w:hAnsiTheme="minorEastAsia" w:eastAsiaTheme="minorEastAsia"/>
          <w:color w:val="auto"/>
          <w:sz w:val="18"/>
          <w:szCs w:val="18"/>
        </w:rPr>
      </w:pPr>
      <w:r>
        <w:rPr>
          <w:rFonts w:cs="Times New Roman" w:asciiTheme="minorEastAsia" w:hAnsiTheme="minorEastAsia" w:eastAsiaTheme="minorEastAsia"/>
          <w:color w:val="auto"/>
          <w:sz w:val="21"/>
          <w:szCs w:val="21"/>
        </w:rPr>
        <w:t>2</w:t>
      </w:r>
      <w:r>
        <w:rPr>
          <w:rFonts w:hint="eastAsia" w:cs="宋体" w:asciiTheme="minorEastAsia" w:hAnsiTheme="minorEastAsia" w:eastAsiaTheme="minorEastAsia"/>
          <w:color w:val="auto"/>
          <w:sz w:val="21"/>
          <w:szCs w:val="21"/>
        </w:rPr>
        <w:t>．世界史学科博士研究生培养主要采取系统课程学习、参与研究、自主研究等方式；教学方式注重专题研讨，兼用讲授与实践等方式。管理方面采用导师为主，指导小组参与的方式，俾能充分发挥导师教书育人的积极性和博士研究生的学习自觉性和创造性。</w:t>
      </w:r>
      <w:r>
        <w:rPr>
          <w:rFonts w:cs="宋体" w:asciiTheme="minorEastAsia" w:hAnsiTheme="minorEastAsia" w:eastAsiaTheme="minorEastAsia"/>
          <w:color w:val="auto"/>
          <w:sz w:val="21"/>
          <w:szCs w:val="21"/>
        </w:rPr>
        <w:t xml:space="preserve"> </w:t>
      </w:r>
    </w:p>
    <w:p>
      <w:pPr>
        <w:pStyle w:val="3"/>
        <w:spacing w:line="360" w:lineRule="auto"/>
        <w:rPr>
          <w:rFonts w:asciiTheme="minorEastAsia" w:hAnsiTheme="minorEastAsia" w:eastAsiaTheme="minorEastAsia"/>
        </w:rPr>
      </w:pPr>
      <w:r>
        <w:rPr>
          <w:rFonts w:hint="eastAsia" w:asciiTheme="minorEastAsia" w:hAnsiTheme="minorEastAsia" w:eastAsiaTheme="minorEastAsia"/>
        </w:rPr>
        <w:t>五</w:t>
      </w:r>
      <w:r>
        <w:rPr>
          <w:rFonts w:asciiTheme="minorEastAsia" w:hAnsiTheme="minorEastAsia" w:eastAsiaTheme="minorEastAsia"/>
        </w:rPr>
        <w:t>、课程设置与修读要求</w:t>
      </w:r>
    </w:p>
    <w:p>
      <w:pPr>
        <w:pStyle w:val="4"/>
        <w:ind w:firstLine="643" w:firstLineChars="200"/>
      </w:pPr>
      <w:r>
        <w:rPr>
          <w:rFonts w:hint="eastAsia"/>
        </w:rPr>
        <w:t>1</w:t>
      </w:r>
      <w:r>
        <w:t xml:space="preserve">. </w:t>
      </w:r>
      <w:r>
        <w:rPr>
          <w:rFonts w:hint="eastAsia"/>
        </w:rPr>
        <w:t>课程设置</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本专业修读课程分为公共必修课程</w:t>
      </w:r>
      <w:r>
        <w:rPr>
          <w:rFonts w:hint="eastAsia" w:asciiTheme="minorEastAsia" w:hAnsiTheme="minorEastAsia" w:eastAsiaTheme="minorEastAsia"/>
          <w:szCs w:val="21"/>
        </w:rPr>
        <w:t>、</w:t>
      </w:r>
      <w:r>
        <w:rPr>
          <w:rFonts w:asciiTheme="minorEastAsia" w:hAnsiTheme="minorEastAsia" w:eastAsiaTheme="minorEastAsia"/>
          <w:szCs w:val="21"/>
        </w:rPr>
        <w:t>专业</w:t>
      </w:r>
      <w:r>
        <w:rPr>
          <w:rFonts w:hint="eastAsia" w:asciiTheme="minorEastAsia" w:hAnsiTheme="minorEastAsia" w:eastAsiaTheme="minorEastAsia"/>
          <w:szCs w:val="21"/>
        </w:rPr>
        <w:t>方向课程和补修课程三个部分。专业方向课程分为世界史专业方向课程和专门史（国际关系史）专业方向课程两大模块。</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公共必修课程</w:t>
      </w:r>
      <w:r>
        <w:rPr>
          <w:rFonts w:hint="eastAsia" w:asciiTheme="minorEastAsia" w:hAnsiTheme="minorEastAsia" w:eastAsiaTheme="minorEastAsia"/>
          <w:szCs w:val="21"/>
        </w:rPr>
        <w:t>包括：</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（2）专业方向课程包括：</w:t>
      </w:r>
    </w:p>
    <w:p>
      <w:pPr>
        <w:spacing w:line="360" w:lineRule="auto"/>
        <w:ind w:left="850" w:leftChars="405" w:firstLine="630" w:firstLineChars="300"/>
        <w:jc w:val="left"/>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 1 \* GB3</w:instrText>
      </w:r>
      <w:r>
        <w:rPr>
          <w:rFonts w:asciiTheme="minorEastAsia" w:hAnsiTheme="minorEastAsia" w:eastAsiaTheme="minorEastAsia"/>
          <w:szCs w:val="21"/>
        </w:rPr>
        <w:instrText xml:space="preserve"> </w:instrText>
      </w:r>
      <w:r>
        <w:rPr>
          <w:rFonts w:asciiTheme="minorEastAsia" w:hAnsiTheme="minorEastAsia" w:eastAsiaTheme="minorEastAsia"/>
          <w:szCs w:val="21"/>
        </w:rPr>
        <w:fldChar w:fldCharType="separate"/>
      </w:r>
      <w:r>
        <w:rPr>
          <w:rFonts w:hint="eastAsia" w:asciiTheme="minorEastAsia" w:hAnsiTheme="minorEastAsia" w:eastAsiaTheme="minorEastAsia"/>
          <w:szCs w:val="21"/>
        </w:rPr>
        <w:t>①</w:t>
      </w:r>
      <w:r>
        <w:rPr>
          <w:rFonts w:asciiTheme="minorEastAsia" w:hAnsiTheme="minorEastAsia" w:eastAsiaTheme="minorEastAsia"/>
          <w:szCs w:val="21"/>
        </w:rPr>
        <w:fldChar w:fldCharType="end"/>
      </w:r>
      <w:r>
        <w:rPr>
          <w:rFonts w:hint="eastAsia" w:asciiTheme="minorEastAsia" w:hAnsiTheme="minorEastAsia" w:eastAsiaTheme="minorEastAsia"/>
          <w:szCs w:val="21"/>
        </w:rPr>
        <w:t>世界史专业方向课程</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世界史专题研究</w:t>
      </w:r>
      <w:r>
        <w:rPr>
          <w:rFonts w:hint="eastAsia" w:asciiTheme="minorEastAsia" w:hAnsiTheme="minorEastAsia" w:eastAsiaTheme="minorEastAsia"/>
          <w:szCs w:val="21"/>
        </w:rPr>
        <w:tab/>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导师专业方向课程</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专业外语</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其他导师专业方向课程</w:t>
      </w:r>
    </w:p>
    <w:p>
      <w:pPr>
        <w:spacing w:line="360" w:lineRule="auto"/>
        <w:ind w:left="850" w:leftChars="405" w:firstLine="630" w:firstLineChars="300"/>
        <w:jc w:val="left"/>
        <w:rPr>
          <w:rFonts w:asciiTheme="minorEastAsia" w:hAnsiTheme="minorEastAsia" w:eastAsiaTheme="minorEastAsia"/>
          <w:szCs w:val="21"/>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 2 \* GB3</w:instrText>
      </w:r>
      <w:r>
        <w:rPr>
          <w:rFonts w:asciiTheme="minorEastAsia" w:hAnsiTheme="minorEastAsia" w:eastAsiaTheme="minorEastAsia"/>
          <w:szCs w:val="21"/>
        </w:rPr>
        <w:instrText xml:space="preserve"> </w:instrText>
      </w:r>
      <w:r>
        <w:rPr>
          <w:rFonts w:asciiTheme="minorEastAsia" w:hAnsiTheme="minorEastAsia" w:eastAsiaTheme="minorEastAsia"/>
          <w:szCs w:val="21"/>
        </w:rPr>
        <w:fldChar w:fldCharType="separate"/>
      </w:r>
      <w:r>
        <w:rPr>
          <w:rFonts w:hint="eastAsia" w:asciiTheme="minorEastAsia" w:hAnsiTheme="minorEastAsia" w:eastAsiaTheme="minorEastAsia"/>
          <w:szCs w:val="21"/>
        </w:rPr>
        <w:t>②</w:t>
      </w:r>
      <w:r>
        <w:rPr>
          <w:rFonts w:asciiTheme="minorEastAsia" w:hAnsiTheme="minorEastAsia" w:eastAsiaTheme="minorEastAsia"/>
          <w:szCs w:val="21"/>
        </w:rPr>
        <w:fldChar w:fldCharType="end"/>
      </w:r>
      <w:r>
        <w:rPr>
          <w:rFonts w:hint="eastAsia" w:asciiTheme="minorEastAsia" w:hAnsiTheme="minorEastAsia" w:eastAsiaTheme="minorEastAsia"/>
          <w:szCs w:val="21"/>
        </w:rPr>
        <w:t>国际关系史专业方向课程：</w:t>
      </w:r>
    </w:p>
    <w:p>
      <w:pPr>
        <w:spacing w:line="360" w:lineRule="auto"/>
        <w:ind w:left="1134" w:leftChars="540"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国际关系理论</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导师专业方向课程</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专业外语</w:t>
      </w:r>
    </w:p>
    <w:p>
      <w:pPr>
        <w:spacing w:line="360" w:lineRule="auto"/>
        <w:ind w:left="850" w:leftChars="405"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其他导师专业方向课程</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（3）补修课程</w:t>
      </w:r>
    </w:p>
    <w:p>
      <w:pPr>
        <w:pStyle w:val="4"/>
        <w:ind w:firstLine="643" w:firstLineChars="200"/>
      </w:pPr>
      <w:r>
        <w:rPr>
          <w:rFonts w:hint="eastAsia"/>
        </w:rPr>
        <w:t>2</w:t>
      </w:r>
      <w:r>
        <w:t xml:space="preserve">. </w:t>
      </w:r>
      <w:r>
        <w:rPr>
          <w:rFonts w:hint="eastAsia"/>
        </w:rPr>
        <w:t>修读要求</w:t>
      </w:r>
    </w:p>
    <w:p>
      <w:pPr>
        <w:pStyle w:val="22"/>
        <w:numPr>
          <w:ilvl w:val="0"/>
          <w:numId w:val="1"/>
        </w:numPr>
        <w:spacing w:line="360" w:lineRule="auto"/>
        <w:ind w:firstLineChars="0"/>
        <w:jc w:val="left"/>
        <w:rPr>
          <w:rFonts w:asciiTheme="minorEastAsia" w:hAnsiTheme="minorEastAsia" w:eastAsiaTheme="minorEastAsia"/>
          <w:szCs w:val="21"/>
        </w:rPr>
      </w:pPr>
      <w:r>
        <w:rPr>
          <w:rFonts w:hint="eastAsia" w:asciiTheme="minorEastAsia" w:hAnsiTheme="minorEastAsia" w:eastAsiaTheme="minorEastAsia"/>
          <w:szCs w:val="21"/>
        </w:rPr>
        <w:t>普通博士研究生需修读不少于五门课程，其中公共外语、政治理论课程两门，</w:t>
      </w:r>
      <w:r>
        <w:rPr>
          <w:rFonts w:asciiTheme="minorEastAsia" w:hAnsiTheme="minorEastAsia" w:eastAsiaTheme="minorEastAsia"/>
          <w:szCs w:val="21"/>
        </w:rPr>
        <w:t>专业</w:t>
      </w:r>
      <w:r>
        <w:rPr>
          <w:rFonts w:hint="eastAsia" w:asciiTheme="minorEastAsia" w:hAnsiTheme="minorEastAsia" w:eastAsiaTheme="minorEastAsia"/>
          <w:szCs w:val="21"/>
        </w:rPr>
        <w:t>方向</w:t>
      </w:r>
      <w:r>
        <w:rPr>
          <w:rFonts w:asciiTheme="minorEastAsia" w:hAnsiTheme="minorEastAsia" w:eastAsiaTheme="minorEastAsia"/>
          <w:szCs w:val="21"/>
        </w:rPr>
        <w:t>课程3门</w:t>
      </w:r>
      <w:r>
        <w:rPr>
          <w:rFonts w:hint="eastAsia" w:asciiTheme="minorEastAsia" w:hAnsiTheme="minorEastAsia" w:eastAsiaTheme="minorEastAsia"/>
          <w:szCs w:val="21"/>
        </w:rPr>
        <w:t>。</w:t>
      </w:r>
    </w:p>
    <w:p>
      <w:pPr>
        <w:pStyle w:val="22"/>
        <w:numPr>
          <w:ilvl w:val="0"/>
          <w:numId w:val="1"/>
        </w:numPr>
        <w:spacing w:line="360" w:lineRule="auto"/>
        <w:ind w:firstLineChars="0"/>
        <w:jc w:val="left"/>
        <w:rPr>
          <w:rFonts w:asciiTheme="minorEastAsia" w:hAnsiTheme="minorEastAsia" w:eastAsiaTheme="minorEastAsia"/>
          <w:szCs w:val="21"/>
        </w:rPr>
      </w:pPr>
      <w:r>
        <w:rPr>
          <w:rFonts w:hint="eastAsia" w:asciiTheme="minorEastAsia" w:hAnsiTheme="minorEastAsia" w:eastAsiaTheme="minorEastAsia"/>
          <w:szCs w:val="21"/>
        </w:rPr>
        <w:t>对缺少本学科前期专业基础的博士研究生，在完成本课程学习的同时，应选修补修课程。补修课程由导师根据研究生具体情况确定科目和数量。补修课程列入研究生培养计划，但不计入最低课程数。</w:t>
      </w:r>
    </w:p>
    <w:p>
      <w:pPr>
        <w:pStyle w:val="22"/>
        <w:numPr>
          <w:ilvl w:val="0"/>
          <w:numId w:val="1"/>
        </w:numPr>
        <w:spacing w:line="360" w:lineRule="auto"/>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所有课程学习一般应在入学后１年内完成。</w:t>
      </w:r>
    </w:p>
    <w:p>
      <w:pPr>
        <w:pStyle w:val="22"/>
        <w:numPr>
          <w:ilvl w:val="0"/>
          <w:numId w:val="1"/>
        </w:numPr>
        <w:ind w:firstLineChars="0"/>
      </w:pPr>
      <w:r>
        <w:rPr>
          <w:rFonts w:hint="eastAsia" w:asciiTheme="minorEastAsia" w:hAnsiTheme="minorEastAsia" w:eastAsiaTheme="minorEastAsia"/>
          <w:szCs w:val="21"/>
        </w:rPr>
        <w:t>专业方向课程分为指定专业方向课程和任选专业方向课程两类。世界史方向（不含国际关系史）的指定专业方向课程合计</w:t>
      </w:r>
      <w:r>
        <w:rPr>
          <w:rFonts w:asciiTheme="minorEastAsia" w:hAnsiTheme="minorEastAsia" w:eastAsiaTheme="minorEastAsia"/>
          <w:szCs w:val="21"/>
        </w:rPr>
        <w:t>2</w:t>
      </w:r>
      <w:r>
        <w:rPr>
          <w:rFonts w:hint="eastAsia" w:asciiTheme="minorEastAsia" w:hAnsiTheme="minorEastAsia" w:eastAsiaTheme="minorEastAsia"/>
          <w:szCs w:val="21"/>
        </w:rPr>
        <w:t>门，为世界史学术前沿专题和导师专业方向课程；任选专业方向课程</w:t>
      </w:r>
      <w:r>
        <w:rPr>
          <w:rFonts w:asciiTheme="minorEastAsia" w:hAnsiTheme="minorEastAsia" w:eastAsiaTheme="minorEastAsia"/>
          <w:szCs w:val="21"/>
        </w:rPr>
        <w:t>1</w:t>
      </w:r>
      <w:r>
        <w:rPr>
          <w:rFonts w:hint="eastAsia" w:asciiTheme="minorEastAsia" w:hAnsiTheme="minorEastAsia" w:eastAsiaTheme="minorEastAsia"/>
          <w:szCs w:val="21"/>
        </w:rPr>
        <w:t>门，在导师指导下在世界史专业方向课程模块或本院和学校开设的与研究方向相关的正式课程中任选一门。国际关系史方向的指定专业方向课程</w:t>
      </w:r>
      <w:r>
        <w:rPr>
          <w:rFonts w:asciiTheme="minorEastAsia" w:hAnsiTheme="minorEastAsia" w:eastAsiaTheme="minorEastAsia"/>
          <w:szCs w:val="21"/>
        </w:rPr>
        <w:t>2</w:t>
      </w:r>
      <w:r>
        <w:rPr>
          <w:rFonts w:hint="eastAsia" w:asciiTheme="minorEastAsia" w:hAnsiTheme="minorEastAsia" w:eastAsiaTheme="minorEastAsia"/>
          <w:szCs w:val="21"/>
        </w:rPr>
        <w:t>门，为国际关系理论和导师方向课程；任选专业方向课程</w:t>
      </w:r>
      <w:r>
        <w:rPr>
          <w:rFonts w:asciiTheme="minorEastAsia" w:hAnsiTheme="minorEastAsia" w:eastAsiaTheme="minorEastAsia"/>
          <w:szCs w:val="21"/>
        </w:rPr>
        <w:t>1</w:t>
      </w:r>
      <w:r>
        <w:rPr>
          <w:rFonts w:hint="eastAsia" w:asciiTheme="minorEastAsia" w:hAnsiTheme="minorEastAsia" w:eastAsiaTheme="minorEastAsia"/>
          <w:szCs w:val="21"/>
        </w:rPr>
        <w:t>门，在导师指导下在国际关系史课程模块的其他专业方向课程模块或本院和学校开设的与研究方向相关的正式课程中任选一门。</w:t>
      </w:r>
    </w:p>
    <w:p>
      <w:pPr>
        <w:pStyle w:val="4"/>
        <w:ind w:left="644"/>
      </w:pPr>
      <w:r>
        <w:rPr>
          <w:rFonts w:hint="eastAsia"/>
        </w:rPr>
        <w:t>3</w:t>
      </w:r>
      <w:r>
        <w:t xml:space="preserve">. </w:t>
      </w:r>
      <w:r>
        <w:rPr>
          <w:rFonts w:hint="eastAsia"/>
        </w:rPr>
        <w:t>课程考核;</w:t>
      </w:r>
      <w:bookmarkStart w:id="0" w:name="_GoBack"/>
      <w:bookmarkEnd w:id="0"/>
    </w:p>
    <w:p>
      <w:pPr>
        <w:pStyle w:val="22"/>
        <w:numPr>
          <w:ilvl w:val="1"/>
          <w:numId w:val="2"/>
        </w:numPr>
        <w:spacing w:line="360" w:lineRule="auto"/>
        <w:ind w:firstLineChars="0"/>
        <w:jc w:val="left"/>
        <w:rPr>
          <w:rFonts w:asciiTheme="minorEastAsia" w:hAnsiTheme="minorEastAsia" w:eastAsiaTheme="minorEastAsia"/>
          <w:szCs w:val="21"/>
        </w:rPr>
      </w:pPr>
      <w:r>
        <w:rPr>
          <w:rFonts w:hint="eastAsia" w:asciiTheme="minorEastAsia" w:hAnsiTheme="minorEastAsia" w:eastAsiaTheme="minorEastAsia"/>
          <w:szCs w:val="21"/>
        </w:rPr>
        <w:t>公共课程由开课单位负责课程考核。</w:t>
      </w:r>
      <w:r>
        <w:rPr>
          <w:rFonts w:asciiTheme="minorEastAsia" w:hAnsiTheme="minorEastAsia" w:eastAsiaTheme="minorEastAsia"/>
          <w:szCs w:val="21"/>
        </w:rPr>
        <w:t xml:space="preserve"> </w:t>
      </w:r>
    </w:p>
    <w:p>
      <w:pPr>
        <w:pStyle w:val="22"/>
        <w:numPr>
          <w:ilvl w:val="1"/>
          <w:numId w:val="2"/>
        </w:numPr>
        <w:spacing w:line="360" w:lineRule="auto"/>
        <w:ind w:firstLineChars="0"/>
        <w:jc w:val="left"/>
        <w:rPr>
          <w:rFonts w:asciiTheme="minorEastAsia" w:hAnsiTheme="minorEastAsia" w:eastAsiaTheme="minorEastAsia"/>
          <w:szCs w:val="21"/>
        </w:rPr>
      </w:pPr>
      <w:r>
        <w:rPr>
          <w:rFonts w:hint="eastAsia" w:asciiTheme="minorEastAsia" w:hAnsiTheme="minorEastAsia" w:eastAsiaTheme="minorEastAsia"/>
          <w:szCs w:val="21"/>
        </w:rPr>
        <w:t>专业课采用笔试、专题报告、读书报告、课堂讨论或论文等形式，综合评定成绩，重在考核其对专业知识的掌握，运用史学理论、方法与研究问题的实际能力。</w:t>
      </w:r>
    </w:p>
    <w:p>
      <w:pPr>
        <w:pStyle w:val="3"/>
        <w:spacing w:line="360" w:lineRule="auto"/>
        <w:rPr>
          <w:rFonts w:asciiTheme="minorEastAsia" w:hAnsiTheme="minorEastAsia" w:eastAsiaTheme="minorEastAsia"/>
        </w:rPr>
      </w:pPr>
      <w:r>
        <w:rPr>
          <w:rFonts w:asciiTheme="minorEastAsia" w:hAnsiTheme="minorEastAsia" w:eastAsiaTheme="minorEastAsia"/>
        </w:rPr>
        <w:t>六、质量监控</w:t>
      </w:r>
      <w:r>
        <w:rPr>
          <w:rFonts w:hint="eastAsia" w:asciiTheme="minorEastAsia" w:hAnsiTheme="minorEastAsia" w:eastAsiaTheme="minorEastAsia"/>
        </w:rPr>
        <w:t>与学业流程</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本专业博士生实行过程化管理。在全部学业流程中共设如下主要环节，加强质量监控：</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制定培养计划。入学第２个月内，研究生在导师指导下制定个人培养计划和学位论文计划</w:t>
      </w:r>
    </w:p>
    <w:p>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2.</w:t>
      </w:r>
      <w:r>
        <w:rPr>
          <w:rFonts w:hint="eastAsia"/>
        </w:rPr>
        <w:t xml:space="preserve"> </w:t>
      </w:r>
      <w:r>
        <w:rPr>
          <w:rFonts w:hint="eastAsia" w:asciiTheme="minorEastAsia" w:hAnsiTheme="minorEastAsia" w:eastAsiaTheme="minorEastAsia"/>
          <w:szCs w:val="21"/>
        </w:rPr>
        <w:t>资格考核。博士研究生在学位论文开题前，需参加资格考试，时间为入学后第三学期。由学院组织相关专家学者成立考核小组，对研究生在第一学年的课程修读、学术成长、科研实践及其它表现进行检查和考核。考核小组本着公正、求实的原则对研究生做出综合评价，评定成绩。考核通过者可以进行学位论文开题与撰写。考核不合格者，可在下一学年第一学期再次进行考核。博士研究生前六年内有三次资格考核机会，对学习确有困难、三次考核不通过者，进行劝退或作肄业处理。</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第二学年第二学期，由导师和指导小组组织论文开题报告会，重点考核论文选题的价值、研究计划、研究基础、文献资料准备等内容。博士学位论文开题在博士资格考核之后举行，开题报告参照课程管理模式，计算成绩（百分制），并记入学习档案。</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4．论文预答辩，学位论文完成后，须在提交盲审前进行预答辩。由导师组织专家对提交预答辩的论文进行审议并提出修改意见。通过预答辩的学生根据预答辩老师的建议对论文进行再次修改、完善后，提交盲审。</w:t>
      </w:r>
    </w:p>
    <w:p>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论文答辩，包括送审和答辩两项工作。论文送审由院研究生办公室、教育部评估中心完成。送审不合格者按学校规定经修改之后重新送审，送审合格之后方可申请答辩。答辩由院研究生办公室、导师负责，非涉密论文应按学校规定的流程进行公开答辩。答辩论文需提前一周送交答辩老师。通过答辩的研究生需根据答辩老师的建议对论文进行进一步的完善，最后提交论文。</w:t>
      </w:r>
    </w:p>
    <w:p>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学术活动。博士研究生应积极参加各类学术活动。在学习阶段至少应参加一次专业性学术会议，并在会议上报告所提交论文。研究生本人需注意留存会议通知、回执、图片、文稿等证明材料。</w:t>
      </w:r>
    </w:p>
    <w:p>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科学研究。博士生研究生应积极从事科学研究，申请学位之前，必须发表CSSCI或相应等级学术论文2篇（具体刊发要求由历史学院学术委员会制定细则另行公布）。</w:t>
      </w:r>
    </w:p>
    <w:p>
      <w:pPr>
        <w:pStyle w:val="3"/>
        <w:spacing w:line="360" w:lineRule="auto"/>
        <w:rPr>
          <w:rFonts w:asciiTheme="minorEastAsia" w:hAnsiTheme="minorEastAsia" w:eastAsiaTheme="minorEastAsia"/>
        </w:rPr>
      </w:pPr>
      <w:r>
        <w:rPr>
          <w:rFonts w:hint="eastAsia" w:asciiTheme="minorEastAsia" w:hAnsiTheme="minorEastAsia" w:eastAsiaTheme="minorEastAsia"/>
        </w:rPr>
        <w:t>七、学籍预警机制</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为提醒和敦促研究生在规定年限内完成学业，对有下列情况之一的研究生给予学籍预警：</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（1）一级预警：博士第5学年第一学期期末，博士资格考核未通过。</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（2）二级预警：博士第7学年第一学期期末，仍未通过博士论文答辩。</w:t>
      </w:r>
    </w:p>
    <w:p>
      <w:pPr>
        <w:ind w:left="281" w:leftChars="134" w:firstLine="142" w:firstLineChars="68"/>
        <w:rPr>
          <w:szCs w:val="21"/>
        </w:rPr>
      </w:pPr>
      <w:r>
        <w:rPr>
          <w:rFonts w:hint="eastAsia" w:asciiTheme="minorEastAsia" w:hAnsiTheme="minorEastAsia" w:eastAsiaTheme="minorEastAsia"/>
          <w:szCs w:val="21"/>
        </w:rPr>
        <w:t>（3）三级预警：博士第8学年第一学期期末，仍未通过博士论文答辩。</w:t>
      </w:r>
    </w:p>
    <w:p>
      <w:pPr>
        <w:pStyle w:val="3"/>
        <w:spacing w:line="360" w:lineRule="auto"/>
        <w:rPr>
          <w:rFonts w:asciiTheme="minorEastAsia" w:hAnsiTheme="minorEastAsia" w:eastAsiaTheme="minorEastAsia"/>
        </w:rPr>
      </w:pPr>
      <w:r>
        <w:rPr>
          <w:rFonts w:hint="eastAsia" w:asciiTheme="minorEastAsia" w:hAnsiTheme="minorEastAsia" w:eastAsiaTheme="minorEastAsia"/>
        </w:rPr>
        <w:t>八、论文工作</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学位论文是研究生培养的重要环节。本专业学位论文的完成共包括确定研究选题、制定写作计划、完成学术综述、开题报告、论文中期检查、论文预审、论文送审、论文答辩等环节，各环节时间安排见学业流程相关规定。</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论文选题力求有理论和现实意义，应该有良好的社会效果，且有学术性和创新性。论文写作计划需送校研究生院备案。</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论文进展检查。博士论文选题确定后，研究生应拟定写作计划，明确各阶段的主要工作任务。该计划经导师审定后报系学位委员会评议，通过后报研究生院备案。博士研究生在学位论文写作过程中，应定期向导师做阶段工作报告，并争取写成专题论文公开发表。</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博士论文在完成撰写，顺利通过预答辩、预答辩后修订、盲审等环节后方可申请正式答辩。</w:t>
      </w:r>
    </w:p>
    <w:p>
      <w:pPr>
        <w:pStyle w:val="3"/>
        <w:spacing w:line="360" w:lineRule="auto"/>
        <w:rPr>
          <w:rFonts w:asciiTheme="minorEastAsia" w:hAnsiTheme="minorEastAsia" w:eastAsiaTheme="minorEastAsia"/>
        </w:rPr>
      </w:pPr>
      <w:r>
        <w:rPr>
          <w:rFonts w:hint="eastAsia" w:asciiTheme="minorEastAsia" w:hAnsiTheme="minorEastAsia" w:eastAsiaTheme="minorEastAsia"/>
        </w:rPr>
        <w:t>九、答辩和学位授予</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学位论文盲审合格之后，依据南京大学有关博士学位授予的工作细则与申请流程，组织答辩。博士论文答辩不合格者，经答辩委员会同意，可在一年之内、六个月之后经修改完善之后，重新答辩一次。</w:t>
      </w:r>
    </w:p>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本专业论文答辩</w:t>
      </w:r>
      <w:r>
        <w:rPr>
          <w:rFonts w:hint="eastAsia" w:asciiTheme="minorEastAsia" w:hAnsiTheme="minorEastAsia" w:eastAsiaTheme="minorEastAsia"/>
          <w:szCs w:val="21"/>
        </w:rPr>
        <w:t>除</w:t>
      </w:r>
      <w:r>
        <w:rPr>
          <w:rFonts w:asciiTheme="minorEastAsia" w:hAnsiTheme="minorEastAsia" w:eastAsiaTheme="minorEastAsia"/>
          <w:szCs w:val="21"/>
        </w:rPr>
        <w:t>涉密论文外全部公开公开答辩</w:t>
      </w:r>
      <w:r>
        <w:rPr>
          <w:rFonts w:hint="eastAsia" w:asciiTheme="minorEastAsia" w:hAnsiTheme="minorEastAsia" w:eastAsiaTheme="minorEastAsia"/>
          <w:szCs w:val="21"/>
        </w:rPr>
        <w:t>。</w:t>
      </w:r>
    </w:p>
    <w:p>
      <w:pPr>
        <w:pStyle w:val="6"/>
        <w:spacing w:line="44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sz w:val="24"/>
        </w:rPr>
        <w:t xml:space="preserve"> </w:t>
      </w:r>
      <w:r>
        <w:rPr>
          <w:rFonts w:hint="eastAsia" w:asciiTheme="minorEastAsia" w:hAnsiTheme="minorEastAsia" w:eastAsiaTheme="minorEastAsia"/>
          <w:szCs w:val="21"/>
        </w:rPr>
        <w:t>学位论文通过答辩后，由答辩委员会向学科点提出授予学位的建议；博士研究生在学位论文通过答辩且完成本培养方案规定的各项要求后，由学科点向学院提出授予学位的申请；由历史学院学位委员会根据学校和学院相关规进行资格定审查，决定是否向学校申请授予学位；由校学位委员会及学位分委员会根据国家及学校相关规定作出是否授予学位的决定。</w:t>
      </w:r>
    </w:p>
    <w:p>
      <w:pPr>
        <w:pStyle w:val="6"/>
        <w:spacing w:line="440" w:lineRule="exact"/>
        <w:rPr>
          <w:rFonts w:asciiTheme="minorEastAsia" w:hAnsiTheme="minorEastAsia" w:eastAsiaTheme="minorEastAsia"/>
          <w:szCs w:val="21"/>
        </w:rPr>
      </w:pPr>
    </w:p>
    <w:p>
      <w:pPr>
        <w:pStyle w:val="6"/>
        <w:spacing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十、硕博连读</w:t>
      </w:r>
    </w:p>
    <w:p>
      <w:pPr>
        <w:pStyle w:val="6"/>
        <w:spacing w:line="440" w:lineRule="exact"/>
        <w:rPr>
          <w:sz w:val="24"/>
        </w:rPr>
      </w:pPr>
      <w:r>
        <w:rPr>
          <w:rFonts w:hint="eastAsia" w:asciiTheme="minorEastAsia" w:hAnsiTheme="minorEastAsia" w:eastAsiaTheme="minorEastAsia"/>
          <w:b/>
          <w:bCs/>
          <w:sz w:val="28"/>
          <w:szCs w:val="28"/>
        </w:rPr>
        <w:t xml:space="preserve"> </w:t>
      </w:r>
      <w:r>
        <w:rPr>
          <w:rFonts w:asciiTheme="minorEastAsia" w:hAnsiTheme="minorEastAsia" w:eastAsiaTheme="minorEastAsia"/>
          <w:b/>
          <w:bCs/>
          <w:sz w:val="28"/>
          <w:szCs w:val="28"/>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本专业硕士中期考核优秀并有学术论文发表，可向专业申请硕博连读，鉴于专业培养需要，硕博连读生增加硕士论文要求。</w:t>
      </w:r>
    </w:p>
    <w:p>
      <w:pPr>
        <w:pStyle w:val="3"/>
        <w:spacing w:line="360" w:lineRule="auto"/>
        <w:rPr>
          <w:rFonts w:asciiTheme="minorEastAsia" w:hAnsiTheme="minorEastAsia" w:eastAsiaTheme="minorEastAsia"/>
        </w:rPr>
      </w:pPr>
      <w:r>
        <w:rPr>
          <w:rFonts w:asciiTheme="minorEastAsia" w:hAnsiTheme="minorEastAsia" w:eastAsiaTheme="minorEastAsia"/>
        </w:rPr>
        <w:t>十</w:t>
      </w:r>
      <w:r>
        <w:rPr>
          <w:rFonts w:hint="eastAsia" w:asciiTheme="minorEastAsia" w:hAnsiTheme="minorEastAsia" w:eastAsiaTheme="minorEastAsia"/>
        </w:rPr>
        <w:t>一、附则</w:t>
      </w:r>
    </w:p>
    <w:p>
      <w:pPr>
        <w:spacing w:line="360" w:lineRule="auto"/>
        <w:ind w:left="141" w:leftChars="67" w:firstLine="142" w:firstLineChars="68"/>
        <w:rPr>
          <w:rFonts w:asciiTheme="minorEastAsia" w:hAnsiTheme="minorEastAsia" w:eastAsiaTheme="minorEastAsia"/>
          <w:szCs w:val="21"/>
        </w:rPr>
      </w:pPr>
      <w:r>
        <w:rPr>
          <w:rFonts w:asciiTheme="minorEastAsia" w:hAnsiTheme="minorEastAsia" w:eastAsiaTheme="minorEastAsia"/>
          <w:szCs w:val="21"/>
        </w:rPr>
        <w:t xml:space="preserve">2. </w:t>
      </w:r>
      <w:r>
        <w:rPr>
          <w:rFonts w:hint="eastAsia" w:asciiTheme="minorEastAsia" w:hAnsiTheme="minorEastAsia" w:eastAsiaTheme="minorEastAsia"/>
          <w:szCs w:val="21"/>
        </w:rPr>
        <w:t>本方案未尽事宜由世界史学科点、历史学院学位分委员会负责解释。</w:t>
      </w:r>
    </w:p>
    <w:p>
      <w:pPr>
        <w:ind w:firstLine="283" w:firstLineChars="135"/>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本方案从</w:t>
      </w:r>
      <w:r>
        <w:rPr>
          <w:rFonts w:asciiTheme="minorEastAsia" w:hAnsiTheme="minorEastAsia" w:eastAsiaTheme="minorEastAsia"/>
          <w:szCs w:val="21"/>
        </w:rPr>
        <w:t>2020级博士研究生开始实施</w:t>
      </w:r>
      <w:r>
        <w:rPr>
          <w:rFonts w:hint="eastAsia" w:asciiTheme="minorEastAsia" w:hAnsiTheme="minorEastAsia" w:eastAsiaTheme="minorEastAsia"/>
          <w:szCs w:val="21"/>
        </w:rPr>
        <w:t>。</w:t>
      </w:r>
    </w:p>
    <w:sectPr>
      <w:pgSz w:w="11906" w:h="16838"/>
      <w:pgMar w:top="1440" w:right="1800" w:bottom="1440"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038D"/>
    <w:multiLevelType w:val="multilevel"/>
    <w:tmpl w:val="251A038D"/>
    <w:lvl w:ilvl="0" w:tentative="0">
      <w:start w:val="1"/>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
    <w:nsid w:val="25F97684"/>
    <w:multiLevelType w:val="multilevel"/>
    <w:tmpl w:val="25F97684"/>
    <w:lvl w:ilvl="0" w:tentative="0">
      <w:start w:val="1"/>
      <w:numFmt w:val="decimal"/>
      <w:lvlText w:val="（%1）"/>
      <w:lvlJc w:val="left"/>
      <w:pPr>
        <w:ind w:left="420" w:hanging="420"/>
      </w:pPr>
      <w:rPr>
        <w:rFonts w:hint="default"/>
      </w:rPr>
    </w:lvl>
    <w:lvl w:ilvl="1" w:tentative="0">
      <w:start w:val="1"/>
      <w:numFmt w:val="decimal"/>
      <w:lvlText w:val="（%2）"/>
      <w:lvlJc w:val="left"/>
      <w:pPr>
        <w:ind w:left="1271" w:hanging="4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34"/>
    <w:rsid w:val="000248EE"/>
    <w:rsid w:val="000366DC"/>
    <w:rsid w:val="000434F5"/>
    <w:rsid w:val="000468BD"/>
    <w:rsid w:val="00051393"/>
    <w:rsid w:val="0005326C"/>
    <w:rsid w:val="00056CC2"/>
    <w:rsid w:val="00063D92"/>
    <w:rsid w:val="00067016"/>
    <w:rsid w:val="00067DBC"/>
    <w:rsid w:val="0007601B"/>
    <w:rsid w:val="000A4C4A"/>
    <w:rsid w:val="000B5789"/>
    <w:rsid w:val="000B57A1"/>
    <w:rsid w:val="000B5DE3"/>
    <w:rsid w:val="000C3E35"/>
    <w:rsid w:val="000C7CA5"/>
    <w:rsid w:val="0010448A"/>
    <w:rsid w:val="00113D96"/>
    <w:rsid w:val="0011491F"/>
    <w:rsid w:val="00130DEE"/>
    <w:rsid w:val="00132259"/>
    <w:rsid w:val="0013528D"/>
    <w:rsid w:val="00143B8B"/>
    <w:rsid w:val="00147E06"/>
    <w:rsid w:val="0015326D"/>
    <w:rsid w:val="00174680"/>
    <w:rsid w:val="001939F3"/>
    <w:rsid w:val="00196B8E"/>
    <w:rsid w:val="001B6EC8"/>
    <w:rsid w:val="001C2D83"/>
    <w:rsid w:val="001C47DD"/>
    <w:rsid w:val="001C5A7D"/>
    <w:rsid w:val="001C7411"/>
    <w:rsid w:val="001D11B9"/>
    <w:rsid w:val="001E6507"/>
    <w:rsid w:val="001F2766"/>
    <w:rsid w:val="00203DC4"/>
    <w:rsid w:val="0021585C"/>
    <w:rsid w:val="00223993"/>
    <w:rsid w:val="00227937"/>
    <w:rsid w:val="0023236C"/>
    <w:rsid w:val="00240995"/>
    <w:rsid w:val="00242421"/>
    <w:rsid w:val="002461D1"/>
    <w:rsid w:val="00246AD7"/>
    <w:rsid w:val="00253C9E"/>
    <w:rsid w:val="002609E5"/>
    <w:rsid w:val="00273189"/>
    <w:rsid w:val="00293876"/>
    <w:rsid w:val="002A1574"/>
    <w:rsid w:val="002A2087"/>
    <w:rsid w:val="002A3B5E"/>
    <w:rsid w:val="002A54D2"/>
    <w:rsid w:val="002C348A"/>
    <w:rsid w:val="002C6E4A"/>
    <w:rsid w:val="002F1B9C"/>
    <w:rsid w:val="00307A9F"/>
    <w:rsid w:val="00323622"/>
    <w:rsid w:val="00333B9F"/>
    <w:rsid w:val="00333C0D"/>
    <w:rsid w:val="00334E1E"/>
    <w:rsid w:val="003430DA"/>
    <w:rsid w:val="00346111"/>
    <w:rsid w:val="00346608"/>
    <w:rsid w:val="00346834"/>
    <w:rsid w:val="0034776A"/>
    <w:rsid w:val="00371DD0"/>
    <w:rsid w:val="00373782"/>
    <w:rsid w:val="0038018A"/>
    <w:rsid w:val="00381558"/>
    <w:rsid w:val="00385325"/>
    <w:rsid w:val="003903AD"/>
    <w:rsid w:val="00394330"/>
    <w:rsid w:val="00394CF6"/>
    <w:rsid w:val="003A4E7D"/>
    <w:rsid w:val="003A63F6"/>
    <w:rsid w:val="003B11A4"/>
    <w:rsid w:val="003C43ED"/>
    <w:rsid w:val="003C5635"/>
    <w:rsid w:val="003D531D"/>
    <w:rsid w:val="003F0CAB"/>
    <w:rsid w:val="004071B7"/>
    <w:rsid w:val="004157C1"/>
    <w:rsid w:val="004274F2"/>
    <w:rsid w:val="004349B0"/>
    <w:rsid w:val="004360DA"/>
    <w:rsid w:val="0043659D"/>
    <w:rsid w:val="004371DB"/>
    <w:rsid w:val="00441F6F"/>
    <w:rsid w:val="00446D76"/>
    <w:rsid w:val="00451F60"/>
    <w:rsid w:val="00473FF8"/>
    <w:rsid w:val="004804A5"/>
    <w:rsid w:val="004843B0"/>
    <w:rsid w:val="004A1688"/>
    <w:rsid w:val="004A276A"/>
    <w:rsid w:val="004A2BAF"/>
    <w:rsid w:val="004B18D3"/>
    <w:rsid w:val="004B351C"/>
    <w:rsid w:val="004C30A1"/>
    <w:rsid w:val="004C7992"/>
    <w:rsid w:val="004D4708"/>
    <w:rsid w:val="004D48D1"/>
    <w:rsid w:val="004D4DB4"/>
    <w:rsid w:val="004E7B8C"/>
    <w:rsid w:val="004E7D96"/>
    <w:rsid w:val="004F38E6"/>
    <w:rsid w:val="00507DA8"/>
    <w:rsid w:val="00511302"/>
    <w:rsid w:val="005162BF"/>
    <w:rsid w:val="005167AD"/>
    <w:rsid w:val="00531553"/>
    <w:rsid w:val="005365E6"/>
    <w:rsid w:val="00536F69"/>
    <w:rsid w:val="0055492A"/>
    <w:rsid w:val="0056033A"/>
    <w:rsid w:val="00561D95"/>
    <w:rsid w:val="0056259C"/>
    <w:rsid w:val="0057068E"/>
    <w:rsid w:val="005712DF"/>
    <w:rsid w:val="00573481"/>
    <w:rsid w:val="00575055"/>
    <w:rsid w:val="00590E61"/>
    <w:rsid w:val="0059401B"/>
    <w:rsid w:val="00595B31"/>
    <w:rsid w:val="005A4535"/>
    <w:rsid w:val="005B0FA0"/>
    <w:rsid w:val="005B2953"/>
    <w:rsid w:val="005B2E13"/>
    <w:rsid w:val="005C2FC5"/>
    <w:rsid w:val="005E795C"/>
    <w:rsid w:val="005F08D4"/>
    <w:rsid w:val="005F5C75"/>
    <w:rsid w:val="005F6277"/>
    <w:rsid w:val="00623624"/>
    <w:rsid w:val="006533CB"/>
    <w:rsid w:val="0065398F"/>
    <w:rsid w:val="006617E9"/>
    <w:rsid w:val="00662856"/>
    <w:rsid w:val="006677DD"/>
    <w:rsid w:val="00673DC6"/>
    <w:rsid w:val="00680B92"/>
    <w:rsid w:val="0068688B"/>
    <w:rsid w:val="006A1837"/>
    <w:rsid w:val="006B0BCF"/>
    <w:rsid w:val="006B3B12"/>
    <w:rsid w:val="006C65EE"/>
    <w:rsid w:val="00706AAC"/>
    <w:rsid w:val="00706FCF"/>
    <w:rsid w:val="00712C1E"/>
    <w:rsid w:val="00716AD5"/>
    <w:rsid w:val="00734689"/>
    <w:rsid w:val="0073579F"/>
    <w:rsid w:val="007371F1"/>
    <w:rsid w:val="0075463D"/>
    <w:rsid w:val="00761817"/>
    <w:rsid w:val="007650AB"/>
    <w:rsid w:val="00777CBA"/>
    <w:rsid w:val="00783E21"/>
    <w:rsid w:val="007A5457"/>
    <w:rsid w:val="007B2AE7"/>
    <w:rsid w:val="007B5D76"/>
    <w:rsid w:val="007E457D"/>
    <w:rsid w:val="00807F38"/>
    <w:rsid w:val="0083609C"/>
    <w:rsid w:val="0083630A"/>
    <w:rsid w:val="00836F68"/>
    <w:rsid w:val="00841254"/>
    <w:rsid w:val="00847178"/>
    <w:rsid w:val="0087653D"/>
    <w:rsid w:val="0088475B"/>
    <w:rsid w:val="00887A9D"/>
    <w:rsid w:val="00895FE4"/>
    <w:rsid w:val="008A783D"/>
    <w:rsid w:val="008B044A"/>
    <w:rsid w:val="008B6B3C"/>
    <w:rsid w:val="008E5162"/>
    <w:rsid w:val="008E7272"/>
    <w:rsid w:val="008F5A1A"/>
    <w:rsid w:val="009070BB"/>
    <w:rsid w:val="00916ABD"/>
    <w:rsid w:val="0094175D"/>
    <w:rsid w:val="009422BA"/>
    <w:rsid w:val="0095157F"/>
    <w:rsid w:val="009727E3"/>
    <w:rsid w:val="009914E0"/>
    <w:rsid w:val="00994958"/>
    <w:rsid w:val="009B1290"/>
    <w:rsid w:val="009C1469"/>
    <w:rsid w:val="009D02D6"/>
    <w:rsid w:val="009E3603"/>
    <w:rsid w:val="009E40A3"/>
    <w:rsid w:val="00A02E3D"/>
    <w:rsid w:val="00A035D2"/>
    <w:rsid w:val="00A120E4"/>
    <w:rsid w:val="00A3003B"/>
    <w:rsid w:val="00A403AB"/>
    <w:rsid w:val="00A51217"/>
    <w:rsid w:val="00A54BFD"/>
    <w:rsid w:val="00A56EAB"/>
    <w:rsid w:val="00A637A0"/>
    <w:rsid w:val="00A7229F"/>
    <w:rsid w:val="00A83943"/>
    <w:rsid w:val="00A86763"/>
    <w:rsid w:val="00AA1698"/>
    <w:rsid w:val="00AA2CDB"/>
    <w:rsid w:val="00AB6D75"/>
    <w:rsid w:val="00AC3AE8"/>
    <w:rsid w:val="00AC71FA"/>
    <w:rsid w:val="00AD1B37"/>
    <w:rsid w:val="00AE0276"/>
    <w:rsid w:val="00AE40FF"/>
    <w:rsid w:val="00B1285B"/>
    <w:rsid w:val="00B14751"/>
    <w:rsid w:val="00B149AD"/>
    <w:rsid w:val="00B15E79"/>
    <w:rsid w:val="00B1696B"/>
    <w:rsid w:val="00B20963"/>
    <w:rsid w:val="00B36F5A"/>
    <w:rsid w:val="00B46B21"/>
    <w:rsid w:val="00B62FD1"/>
    <w:rsid w:val="00B71CF0"/>
    <w:rsid w:val="00B729DC"/>
    <w:rsid w:val="00B932E6"/>
    <w:rsid w:val="00BA3D88"/>
    <w:rsid w:val="00BB173D"/>
    <w:rsid w:val="00BB2A9C"/>
    <w:rsid w:val="00BB7C24"/>
    <w:rsid w:val="00BC0C0B"/>
    <w:rsid w:val="00BE0C4C"/>
    <w:rsid w:val="00BE7501"/>
    <w:rsid w:val="00BF3B09"/>
    <w:rsid w:val="00BF672F"/>
    <w:rsid w:val="00C046BE"/>
    <w:rsid w:val="00C101C3"/>
    <w:rsid w:val="00C10A17"/>
    <w:rsid w:val="00C17501"/>
    <w:rsid w:val="00C25E1E"/>
    <w:rsid w:val="00C35EB1"/>
    <w:rsid w:val="00C444DA"/>
    <w:rsid w:val="00C45640"/>
    <w:rsid w:val="00C51F71"/>
    <w:rsid w:val="00C54193"/>
    <w:rsid w:val="00C5496E"/>
    <w:rsid w:val="00C572CB"/>
    <w:rsid w:val="00C71BA0"/>
    <w:rsid w:val="00C84BA0"/>
    <w:rsid w:val="00C92318"/>
    <w:rsid w:val="00C94336"/>
    <w:rsid w:val="00C9489E"/>
    <w:rsid w:val="00CB1894"/>
    <w:rsid w:val="00CB37DE"/>
    <w:rsid w:val="00CC4696"/>
    <w:rsid w:val="00CC5B0B"/>
    <w:rsid w:val="00CE13F2"/>
    <w:rsid w:val="00CE4EEE"/>
    <w:rsid w:val="00CF19C4"/>
    <w:rsid w:val="00D15380"/>
    <w:rsid w:val="00D26B93"/>
    <w:rsid w:val="00D444CC"/>
    <w:rsid w:val="00D51E2B"/>
    <w:rsid w:val="00D65458"/>
    <w:rsid w:val="00D743BA"/>
    <w:rsid w:val="00D746A9"/>
    <w:rsid w:val="00D87B14"/>
    <w:rsid w:val="00DA3C90"/>
    <w:rsid w:val="00DA6E18"/>
    <w:rsid w:val="00DB04AC"/>
    <w:rsid w:val="00DB254E"/>
    <w:rsid w:val="00DC2D1A"/>
    <w:rsid w:val="00DE2D85"/>
    <w:rsid w:val="00DE7AC5"/>
    <w:rsid w:val="00DF2C24"/>
    <w:rsid w:val="00E03512"/>
    <w:rsid w:val="00E155E0"/>
    <w:rsid w:val="00E27D73"/>
    <w:rsid w:val="00E30FC7"/>
    <w:rsid w:val="00E35808"/>
    <w:rsid w:val="00E4610E"/>
    <w:rsid w:val="00E5798C"/>
    <w:rsid w:val="00E63FB9"/>
    <w:rsid w:val="00E669C6"/>
    <w:rsid w:val="00E7375C"/>
    <w:rsid w:val="00E83FFC"/>
    <w:rsid w:val="00E85B61"/>
    <w:rsid w:val="00E8648E"/>
    <w:rsid w:val="00E91AC1"/>
    <w:rsid w:val="00E94542"/>
    <w:rsid w:val="00E96B69"/>
    <w:rsid w:val="00E9785D"/>
    <w:rsid w:val="00EA1713"/>
    <w:rsid w:val="00EA2F99"/>
    <w:rsid w:val="00EA36A8"/>
    <w:rsid w:val="00EA6837"/>
    <w:rsid w:val="00EA7C78"/>
    <w:rsid w:val="00EB024B"/>
    <w:rsid w:val="00EB43D9"/>
    <w:rsid w:val="00EB680D"/>
    <w:rsid w:val="00EC29C4"/>
    <w:rsid w:val="00EE0E7A"/>
    <w:rsid w:val="00EE203E"/>
    <w:rsid w:val="00EF1EB1"/>
    <w:rsid w:val="00EF2DC0"/>
    <w:rsid w:val="00EF4063"/>
    <w:rsid w:val="00EF7419"/>
    <w:rsid w:val="00F0014A"/>
    <w:rsid w:val="00F030FE"/>
    <w:rsid w:val="00F03D0A"/>
    <w:rsid w:val="00F358D4"/>
    <w:rsid w:val="00F50F5A"/>
    <w:rsid w:val="00F512BF"/>
    <w:rsid w:val="00F526D6"/>
    <w:rsid w:val="00F55C11"/>
    <w:rsid w:val="00F625E3"/>
    <w:rsid w:val="00F76901"/>
    <w:rsid w:val="00F8570C"/>
    <w:rsid w:val="00F86D2A"/>
    <w:rsid w:val="00F94FA7"/>
    <w:rsid w:val="00FA0103"/>
    <w:rsid w:val="00FA4AC9"/>
    <w:rsid w:val="00FB3549"/>
    <w:rsid w:val="00FB6DDD"/>
    <w:rsid w:val="00FD7597"/>
    <w:rsid w:val="00FF3F54"/>
    <w:rsid w:val="280B5C5A"/>
    <w:rsid w:val="2A962C1F"/>
    <w:rsid w:val="484F3334"/>
    <w:rsid w:val="641F3DDB"/>
    <w:rsid w:val="7DF815E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semiHidden/>
    <w:unhideWhenUsed/>
    <w:uiPriority w:val="99"/>
    <w:pPr>
      <w:jc w:val="left"/>
    </w:pPr>
  </w:style>
  <w:style w:type="paragraph" w:styleId="6">
    <w:name w:val="Plain Text"/>
    <w:basedOn w:val="1"/>
    <w:link w:val="23"/>
    <w:uiPriority w:val="0"/>
    <w:rPr>
      <w:rFonts w:ascii="宋体" w:hAnsi="Courier New"/>
      <w:szCs w:val="20"/>
    </w:rPr>
  </w:style>
  <w:style w:type="paragraph" w:styleId="7">
    <w:name w:val="Balloon Text"/>
    <w:basedOn w:val="1"/>
    <w:link w:val="18"/>
    <w:semiHidden/>
    <w:unhideWhenUsed/>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4"/>
    <w:semiHidden/>
    <w:unhideWhenUsed/>
    <w:uiPriority w:val="99"/>
    <w:pPr>
      <w:snapToGrid w:val="0"/>
      <w:jc w:val="left"/>
    </w:pPr>
    <w:rPr>
      <w:sz w:val="18"/>
      <w:szCs w:val="18"/>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uiPriority w:val="99"/>
    <w:rPr>
      <w:sz w:val="21"/>
      <w:szCs w:val="21"/>
    </w:rPr>
  </w:style>
  <w:style w:type="character" w:styleId="15">
    <w:name w:val="footnote reference"/>
    <w:basedOn w:val="13"/>
    <w:semiHidden/>
    <w:unhideWhenUsed/>
    <w:uiPriority w:val="99"/>
    <w:rPr>
      <w:vertAlign w:val="superscript"/>
    </w:rPr>
  </w:style>
  <w:style w:type="character" w:customStyle="1" w:styleId="16">
    <w:name w:val="页眉 字符"/>
    <w:basedOn w:val="13"/>
    <w:link w:val="9"/>
    <w:uiPriority w:val="99"/>
    <w:rPr>
      <w:rFonts w:ascii="Times New Roman" w:hAnsi="Times New Roman" w:eastAsia="宋体" w:cs="Times New Roman"/>
      <w:sz w:val="18"/>
      <w:szCs w:val="18"/>
    </w:rPr>
  </w:style>
  <w:style w:type="character" w:customStyle="1" w:styleId="17">
    <w:name w:val="页脚 字符"/>
    <w:basedOn w:val="13"/>
    <w:link w:val="8"/>
    <w:uiPriority w:val="99"/>
    <w:rPr>
      <w:rFonts w:ascii="Times New Roman" w:hAnsi="Times New Roman" w:eastAsia="宋体" w:cs="Times New Roman"/>
      <w:sz w:val="18"/>
      <w:szCs w:val="18"/>
    </w:rPr>
  </w:style>
  <w:style w:type="character" w:customStyle="1" w:styleId="18">
    <w:name w:val="批注框文本 字符"/>
    <w:basedOn w:val="13"/>
    <w:link w:val="7"/>
    <w:semiHidden/>
    <w:uiPriority w:val="99"/>
    <w:rPr>
      <w:rFonts w:ascii="Times New Roman" w:hAnsi="Times New Roman" w:eastAsia="宋体" w:cs="Times New Roman"/>
      <w:sz w:val="18"/>
      <w:szCs w:val="18"/>
    </w:rPr>
  </w:style>
  <w:style w:type="character" w:customStyle="1" w:styleId="19">
    <w:name w:val="批注文字 字符"/>
    <w:basedOn w:val="13"/>
    <w:link w:val="5"/>
    <w:semiHidden/>
    <w:uiPriority w:val="99"/>
    <w:rPr>
      <w:rFonts w:ascii="Times New Roman" w:hAnsi="Times New Roman" w:eastAsia="宋体" w:cs="Times New Roman"/>
      <w:szCs w:val="24"/>
    </w:rPr>
  </w:style>
  <w:style w:type="paragraph" w:customStyle="1" w:styleId="20">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21">
    <w:name w:val="Defaul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styleId="22">
    <w:name w:val="List Paragraph"/>
    <w:basedOn w:val="1"/>
    <w:uiPriority w:val="99"/>
    <w:pPr>
      <w:ind w:firstLine="420" w:firstLineChars="200"/>
    </w:pPr>
  </w:style>
  <w:style w:type="character" w:customStyle="1" w:styleId="23">
    <w:name w:val="纯文本 字符"/>
    <w:basedOn w:val="13"/>
    <w:link w:val="6"/>
    <w:qFormat/>
    <w:uiPriority w:val="0"/>
    <w:rPr>
      <w:rFonts w:ascii="宋体" w:hAnsi="Courier New" w:eastAsia="宋体" w:cs="Times New Roman"/>
      <w:kern w:val="2"/>
      <w:sz w:val="21"/>
    </w:rPr>
  </w:style>
  <w:style w:type="character" w:customStyle="1" w:styleId="24">
    <w:name w:val="脚注文本 字符"/>
    <w:basedOn w:val="13"/>
    <w:link w:val="10"/>
    <w:semiHidden/>
    <w:uiPriority w:val="99"/>
    <w:rPr>
      <w:rFonts w:ascii="Times New Roman" w:hAnsi="Times New Roman" w:eastAsia="宋体" w:cs="Times New Roman"/>
      <w:kern w:val="2"/>
      <w:sz w:val="18"/>
      <w:szCs w:val="18"/>
    </w:rPr>
  </w:style>
  <w:style w:type="character" w:customStyle="1" w:styleId="25">
    <w:name w:val="标题 2 字符"/>
    <w:basedOn w:val="13"/>
    <w:link w:val="3"/>
    <w:uiPriority w:val="9"/>
    <w:rPr>
      <w:rFonts w:asciiTheme="majorHAnsi" w:hAnsiTheme="majorHAnsi" w:eastAsiaTheme="majorEastAsia" w:cstheme="majorBidi"/>
      <w:b/>
      <w:bCs/>
      <w:kern w:val="2"/>
      <w:sz w:val="32"/>
      <w:szCs w:val="32"/>
    </w:rPr>
  </w:style>
  <w:style w:type="character" w:customStyle="1" w:styleId="26">
    <w:name w:val="标题 1 字符"/>
    <w:basedOn w:val="13"/>
    <w:link w:val="2"/>
    <w:uiPriority w:val="9"/>
    <w:rPr>
      <w:rFonts w:ascii="Times New Roman" w:hAnsi="Times New Roman" w:eastAsia="宋体" w:cs="Times New Roman"/>
      <w:b/>
      <w:bCs/>
      <w:kern w:val="44"/>
      <w:sz w:val="44"/>
      <w:szCs w:val="44"/>
    </w:rPr>
  </w:style>
  <w:style w:type="paragraph" w:customStyle="1" w:styleId="27">
    <w:name w:val="修订2"/>
    <w:hidden/>
    <w:semiHidden/>
    <w:uiPriority w:val="99"/>
    <w:rPr>
      <w:rFonts w:ascii="Times New Roman" w:hAnsi="Times New Roman" w:eastAsia="宋体" w:cs="Times New Roman"/>
      <w:kern w:val="2"/>
      <w:sz w:val="21"/>
      <w:szCs w:val="24"/>
      <w:lang w:val="en-US" w:eastAsia="zh-CN" w:bidi="ar-SA"/>
    </w:rPr>
  </w:style>
  <w:style w:type="character" w:customStyle="1" w:styleId="28">
    <w:name w:val="标题 3 字符"/>
    <w:basedOn w:val="13"/>
    <w:link w:val="4"/>
    <w:uiPriority w:val="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6D646-8BE0-4172-8694-385E27F469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590</Words>
  <Characters>3366</Characters>
  <Lines>28</Lines>
  <Paragraphs>7</Paragraphs>
  <TotalTime>127</TotalTime>
  <ScaleCrop>false</ScaleCrop>
  <LinksUpToDate>false</LinksUpToDate>
  <CharactersWithSpaces>3949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2020-07-11T09:36:00Z</dcterms:created>
  <dc:creator>J</dc:creator>
  <cp:lastModifiedBy>liangchen</cp:lastModifiedBy>
  <cp:lastPrinted>2020-06-23T07:54:00Z</cp:lastPrinted>
  <dcterms:modified xsi:type="dcterms:W3CDTF">2020-07-17T02:50:53Z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